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199"/>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p>
    <w:p w14:paraId="4C7B4D7A">
      <w:pPr>
        <w:pStyle w:val="199"/>
        <w:widowControl/>
        <w:tabs>
          <w:tab w:val="clear" w:pos="5954"/>
        </w:tabs>
        <w:jc w:val="center"/>
        <w:rPr>
          <w:rFonts w:ascii="Arial" w:hAnsi="Arial" w:cs="Arial"/>
          <w:b/>
          <w:sz w:val="24"/>
          <w:szCs w:val="24"/>
          <w:u w:val="single"/>
        </w:rPr>
      </w:pPr>
    </w:p>
    <w:tbl>
      <w:tblPr>
        <w:tblStyle w:val="6"/>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043/2026</w:t>
            </w:r>
          </w:p>
        </w:tc>
      </w:tr>
      <w:tr w14:paraId="75C73B58">
        <w:tblPrEx>
          <w:tblCellMar>
            <w:top w:w="0" w:type="dxa"/>
            <w:left w:w="70" w:type="dxa"/>
            <w:bottom w:w="0" w:type="dxa"/>
            <w:right w:w="70" w:type="dxa"/>
          </w:tblCellMar>
        </w:tblPrEx>
        <w:trPr>
          <w:trHeight w:val="40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018/2026</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90018</w:t>
            </w:r>
          </w:p>
        </w:tc>
      </w:tr>
      <w:tr w14:paraId="63903046">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259ADF">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2A3A1C42">
            <w:pPr>
              <w:jc w:val="both"/>
              <w:rPr>
                <w:rFonts w:hint="default" w:ascii="Arial" w:hAnsi="Arial" w:cs="Arial"/>
                <w:b/>
                <w:bCs/>
                <w:color w:val="000000"/>
                <w:lang w:val="pt-BR"/>
              </w:rPr>
            </w:pPr>
            <w:r>
              <w:rPr>
                <w:rFonts w:hint="default" w:ascii="Arial" w:hAnsi="Arial" w:cs="Arial"/>
                <w:color w:val="000000"/>
                <w:sz w:val="22"/>
                <w:szCs w:val="22"/>
                <w:lang w:val="pt-BR"/>
              </w:rPr>
              <w:t>018/2026</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Menor preço por item</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19/05/2026</w:t>
            </w:r>
            <w:r>
              <w:rPr>
                <w:rFonts w:ascii="Arial" w:hAnsi="Arial" w:cs="Arial"/>
                <w:b/>
                <w:bCs/>
                <w:color w:val="000000"/>
                <w:sz w:val="22"/>
                <w:szCs w:val="22"/>
              </w:rPr>
              <w:t xml:space="preserve">. Início: 09h (nove horas)                   </w:t>
            </w:r>
          </w:p>
          <w:p w14:paraId="3C951FB6">
            <w:pPr>
              <w:jc w:val="both"/>
              <w:rPr>
                <w:rFonts w:hint="default" w:ascii="Arial" w:hAnsi="Arial" w:cs="Arial"/>
                <w:b/>
                <w:bCs/>
                <w:color w:val="000000"/>
                <w:lang w:val="pt-BR"/>
              </w:rPr>
            </w:pPr>
            <w:r>
              <w:rPr>
                <w:rFonts w:ascii="Arial" w:hAnsi="Arial" w:cs="Arial"/>
                <w:b/>
                <w:bCs/>
                <w:color w:val="000000"/>
                <w:sz w:val="22"/>
                <w:szCs w:val="22"/>
              </w:rPr>
              <w:t xml:space="preserve">Local: </w:t>
            </w:r>
            <w:r>
              <w:rPr>
                <w:rFonts w:ascii="Arial" w:hAnsi="Arial" w:cs="Arial"/>
                <w:sz w:val="22"/>
                <w:szCs w:val="22"/>
              </w:rPr>
              <w:fldChar w:fldCharType="begin"/>
            </w:r>
            <w:r>
              <w:rPr>
                <w:rFonts w:ascii="Arial" w:hAnsi="Arial" w:cs="Arial"/>
                <w:sz w:val="22"/>
                <w:szCs w:val="22"/>
              </w:rPr>
              <w:instrText xml:space="preserve"> HYPERLINK "http://www.comprasgovernamentais.gov.br" </w:instrText>
            </w:r>
            <w:r>
              <w:rPr>
                <w:rFonts w:ascii="Arial" w:hAnsi="Arial" w:cs="Arial"/>
                <w:sz w:val="22"/>
                <w:szCs w:val="22"/>
              </w:rPr>
              <w:fldChar w:fldCharType="separate"/>
            </w:r>
            <w:r>
              <w:rPr>
                <w:rStyle w:val="13"/>
                <w:rFonts w:ascii="Arial" w:hAnsi="Arial" w:cs="Arial"/>
                <w:sz w:val="22"/>
                <w:szCs w:val="22"/>
              </w:rPr>
              <w:t>www.comprasgovernamentais.gov.br</w:t>
            </w:r>
            <w:r>
              <w:rPr>
                <w:rFonts w:ascii="Arial" w:hAnsi="Arial" w:cs="Arial"/>
                <w:sz w:val="22"/>
                <w:szCs w:val="22"/>
              </w:rPr>
              <w:fldChar w:fldCharType="end"/>
            </w:r>
            <w:r>
              <w:rPr>
                <w:rFonts w:hint="default" w:ascii="Arial" w:hAnsi="Arial" w:cs="Arial"/>
                <w:sz w:val="22"/>
                <w:szCs w:val="22"/>
                <w:lang w:val="pt-BR"/>
              </w:rPr>
              <w:t xml:space="preserve">                                                                               </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6077F068">
            <w:pPr>
              <w:jc w:val="both"/>
              <w:rPr>
                <w:rFonts w:ascii="Arial" w:hAnsi="Arial" w:cs="Arial"/>
                <w:color w:val="000000"/>
              </w:rPr>
            </w:pPr>
            <w:r>
              <w:rPr>
                <w:rFonts w:ascii="Arial" w:hAnsi="Arial" w:cs="Arial"/>
                <w:color w:val="000000"/>
              </w:rPr>
              <w:t xml:space="preserve">Registrar preços para futura e eventual contratação de empresa especializada </w:t>
            </w:r>
            <w:r>
              <w:rPr>
                <w:rFonts w:hint="default" w:ascii="Arial" w:hAnsi="Arial" w:cs="Arial"/>
                <w:color w:val="000000"/>
                <w:lang w:val="pt-BR"/>
              </w:rPr>
              <w:t>no fornecimento</w:t>
            </w:r>
            <w:r>
              <w:rPr>
                <w:rFonts w:hint="default" w:ascii="Arial" w:hAnsi="Arial"/>
                <w:color w:val="000000"/>
                <w:lang w:val="pt-BR"/>
              </w:rPr>
              <w:t xml:space="preserve"> de medicamentos manipulados, em atendimento às demandas da Secretaria de Saúde da Prefeitura Municipal de Cataguases</w:t>
            </w:r>
            <w:r>
              <w:rPr>
                <w:rFonts w:hint="default" w:ascii="Arial" w:hAnsi="Arial" w:cs="Arial"/>
                <w:lang w:val="pt-BR"/>
              </w:rPr>
              <w:t>-MG</w:t>
            </w:r>
            <w:r>
              <w:rPr>
                <w:rFonts w:hint="default" w:ascii="Arial" w:hAnsi="Arial" w:cs="Arial"/>
                <w:color w:val="000000"/>
                <w:lang w:val="pt-BR"/>
              </w:rPr>
              <w:t>.</w:t>
            </w:r>
          </w:p>
          <w:p w14:paraId="1479E2F1">
            <w:pPr>
              <w:jc w:val="both"/>
              <w:rPr>
                <w:rFonts w:hint="default" w:ascii="Arial" w:hAnsi="Arial"/>
                <w:szCs w:val="24"/>
                <w:lang w:val="pt-BR"/>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hint="default" w:ascii="Arial" w:hAnsi="Arial"/>
                <w:b/>
                <w:bCs/>
                <w:color w:val="000000"/>
                <w:sz w:val="22"/>
                <w:szCs w:val="22"/>
                <w:lang w:val="pt-BR"/>
              </w:rPr>
              <w:t>R$ 3.956,77</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3"/>
                <w:rFonts w:ascii="Arial" w:hAnsi="Arial" w:eastAsia="Arial" w:cs="Arial"/>
                <w:sz w:val="22"/>
                <w:szCs w:val="22"/>
              </w:rPr>
              <w:t>www.cataguases.mg.gov.br</w:t>
            </w:r>
            <w:r>
              <w:rPr>
                <w:rStyle w:val="13"/>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3"/>
                <w:rFonts w:ascii="Arial" w:hAnsi="Arial" w:eastAsia="Arial" w:cs="Arial"/>
                <w:sz w:val="22"/>
                <w:szCs w:val="22"/>
              </w:rPr>
              <w:t>pregaocataguases@gmail.com</w:t>
            </w:r>
            <w:r>
              <w:rPr>
                <w:rStyle w:val="13"/>
                <w:rFonts w:ascii="Arial" w:hAnsi="Arial" w:eastAsia="Arial" w:cs="Arial"/>
                <w:sz w:val="22"/>
                <w:szCs w:val="22"/>
              </w:rPr>
              <w:fldChar w:fldCharType="end"/>
            </w:r>
            <w:r>
              <w:rPr>
                <w:rFonts w:ascii="Arial" w:hAnsi="Arial" w:cs="Arial"/>
                <w:color w:val="000000"/>
                <w:sz w:val="22"/>
                <w:szCs w:val="22"/>
              </w:rPr>
              <w:t>, telefones (32)</w:t>
            </w:r>
            <w:r>
              <w:rPr>
                <w:rFonts w:hint="default" w:ascii="Arial" w:hAnsi="Arial" w:cs="Arial"/>
                <w:color w:val="000000"/>
                <w:sz w:val="22"/>
                <w:szCs w:val="22"/>
                <w:lang w:val="pt-BR"/>
              </w:rPr>
              <w:t xml:space="preserve"> 3429 2500 - Ramais 149 ou 150</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2927BA57">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36024B29">
      <w:pPr>
        <w:jc w:val="center"/>
        <w:rPr>
          <w:rFonts w:ascii="Arial" w:hAnsi="Arial" w:cs="Arial"/>
          <w:sz w:val="20"/>
        </w:rPr>
      </w:pPr>
    </w:p>
    <w:p w14:paraId="7806BE06">
      <w:pPr>
        <w:jc w:val="center"/>
        <w:rPr>
          <w:rFonts w:ascii="Arial" w:hAnsi="Arial" w:cs="Arial"/>
          <w:sz w:val="20"/>
        </w:rPr>
      </w:pPr>
    </w:p>
    <w:p w14:paraId="37B50CA2">
      <w:pPr>
        <w:jc w:val="center"/>
        <w:rPr>
          <w:rFonts w:ascii="Arial" w:hAnsi="Arial" w:cs="Arial"/>
          <w:sz w:val="20"/>
        </w:rPr>
      </w:pPr>
    </w:p>
    <w:p w14:paraId="4520A002">
      <w:pPr>
        <w:jc w:val="center"/>
        <w:rPr>
          <w:rFonts w:ascii="Arial" w:hAnsi="Arial" w:cs="Arial"/>
          <w:sz w:val="20"/>
        </w:rPr>
      </w:pPr>
    </w:p>
    <w:p w14:paraId="29FE8409">
      <w:pPr>
        <w:jc w:val="center"/>
        <w:rPr>
          <w:rFonts w:ascii="Arial" w:hAnsi="Arial" w:cs="Arial"/>
          <w:sz w:val="20"/>
        </w:rPr>
      </w:pPr>
    </w:p>
    <w:p w14:paraId="40E96481">
      <w:pPr>
        <w:jc w:val="center"/>
        <w:rPr>
          <w:rFonts w:ascii="Arial" w:hAnsi="Arial" w:cs="Arial"/>
          <w:sz w:val="20"/>
        </w:rPr>
      </w:pPr>
    </w:p>
    <w:p w14:paraId="40E104BE">
      <w:pPr>
        <w:jc w:val="center"/>
        <w:rPr>
          <w:rFonts w:ascii="Arial" w:hAnsi="Arial" w:cs="Arial"/>
          <w:sz w:val="20"/>
        </w:rPr>
      </w:pPr>
    </w:p>
    <w:p w14:paraId="750DEEA8">
      <w:pPr>
        <w:jc w:val="center"/>
        <w:rPr>
          <w:rFonts w:ascii="Arial" w:hAnsi="Arial" w:cs="Arial"/>
          <w:sz w:val="20"/>
        </w:rPr>
      </w:pPr>
    </w:p>
    <w:p w14:paraId="727E2C5A">
      <w:pPr>
        <w:jc w:val="center"/>
        <w:rPr>
          <w:rFonts w:ascii="Arial" w:hAnsi="Arial" w:cs="Arial"/>
          <w:sz w:val="20"/>
        </w:rPr>
      </w:pPr>
    </w:p>
    <w:p w14:paraId="5C7DE68A">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PREGÃO ELETRÔNICO Nº </w:t>
      </w:r>
      <w:r>
        <w:rPr>
          <w:rFonts w:ascii="Arial" w:hAnsi="Arial" w:cs="Arial"/>
          <w:b/>
          <w:bCs/>
          <w:sz w:val="20"/>
          <w:szCs w:val="20"/>
          <w:lang w:val="pt-BR"/>
        </w:rPr>
        <w:t>018/2026</w:t>
      </w:r>
    </w:p>
    <w:p w14:paraId="4E3BAA0E">
      <w:pPr>
        <w:spacing w:line="360" w:lineRule="auto"/>
        <w:jc w:val="center"/>
        <w:rPr>
          <w:rFonts w:ascii="Arial" w:hAnsi="Arial" w:cs="Arial"/>
          <w:b/>
          <w:bCs/>
          <w:sz w:val="20"/>
          <w:szCs w:val="20"/>
        </w:rPr>
      </w:pPr>
    </w:p>
    <w:p w14:paraId="71C6DA8B">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043/2026</w:t>
      </w:r>
    </w:p>
    <w:p w14:paraId="6410A2CA">
      <w:pPr>
        <w:spacing w:line="360" w:lineRule="auto"/>
        <w:rPr>
          <w:rFonts w:hint="default" w:ascii="Arial" w:hAnsi="Arial" w:cs="Arial"/>
          <w:b/>
          <w:color w:val="FF0000"/>
          <w:sz w:val="20"/>
          <w:szCs w:val="20"/>
          <w:lang w:val="pt-BR"/>
        </w:rPr>
      </w:pPr>
      <w:r>
        <w:rPr>
          <w:rFonts w:ascii="Arial" w:hAnsi="Arial" w:cs="Arial"/>
          <w:b/>
          <w:bCs/>
          <w:color w:val="FF0000"/>
          <w:sz w:val="20"/>
          <w:szCs w:val="20"/>
        </w:rPr>
        <w:t xml:space="preserve">Data de Abertura para lances: </w:t>
      </w:r>
      <w:r>
        <w:rPr>
          <w:rFonts w:hint="default" w:ascii="Arial" w:hAnsi="Arial" w:cs="Arial"/>
          <w:b/>
          <w:bCs/>
          <w:color w:val="FF0000"/>
          <w:sz w:val="20"/>
          <w:szCs w:val="20"/>
          <w:lang w:val="pt-BR"/>
        </w:rPr>
        <w:t>19/05/2026</w:t>
      </w:r>
    </w:p>
    <w:p w14:paraId="1E1D798B">
      <w:pPr>
        <w:spacing w:line="360" w:lineRule="auto"/>
        <w:rPr>
          <w:rFonts w:ascii="Arial" w:hAnsi="Arial" w:cs="Arial"/>
          <w:b/>
          <w:sz w:val="20"/>
          <w:szCs w:val="20"/>
        </w:rPr>
      </w:pPr>
      <w:r>
        <w:rPr>
          <w:rFonts w:ascii="Arial" w:hAnsi="Arial" w:cs="Arial"/>
          <w:b/>
          <w:bCs/>
          <w:sz w:val="20"/>
          <w:szCs w:val="20"/>
        </w:rPr>
        <w:t>Horário: 09 (nove) horas</w:t>
      </w:r>
    </w:p>
    <w:p w14:paraId="6347EA1A">
      <w:pPr>
        <w:spacing w:line="360" w:lineRule="auto"/>
        <w:rPr>
          <w:rStyle w:val="269"/>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69"/>
          <w:rFonts w:ascii="Arial" w:hAnsi="Arial" w:cs="Arial"/>
          <w:b/>
          <w:color w:val="auto"/>
          <w:sz w:val="20"/>
          <w:szCs w:val="20"/>
        </w:rPr>
        <w:t>www.comprasgovernamentais.gov.br</w:t>
      </w:r>
      <w:r>
        <w:rPr>
          <w:rStyle w:val="269"/>
          <w:rFonts w:ascii="Arial" w:hAnsi="Arial" w:cs="Arial"/>
          <w:b/>
          <w:color w:val="auto"/>
          <w:sz w:val="20"/>
          <w:szCs w:val="20"/>
        </w:rPr>
        <w:fldChar w:fldCharType="end"/>
      </w:r>
    </w:p>
    <w:p w14:paraId="7C116D94">
      <w:pPr>
        <w:rPr>
          <w:rStyle w:val="269"/>
          <w:rFonts w:ascii="Arial" w:hAnsi="Arial" w:cs="Arial"/>
          <w:b/>
          <w:color w:val="auto"/>
          <w:sz w:val="20"/>
          <w:szCs w:val="20"/>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w:t>
      </w:r>
      <w:r>
        <w:rPr>
          <w:rFonts w:hint="default" w:ascii="Arial" w:hAnsi="Arial" w:cs="Arial"/>
          <w:sz w:val="18"/>
          <w:szCs w:val="18"/>
          <w:lang w:val="pt-BR"/>
        </w:rPr>
        <w:t>093/2026</w:t>
      </w:r>
      <w:r>
        <w:rPr>
          <w:rFonts w:hint="default" w:ascii="Arial" w:hAnsi="Arial" w:cs="Arial"/>
          <w:sz w:val="18"/>
          <w:szCs w:val="18"/>
        </w:rPr>
        <w:t xml:space="preserve">,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043/2026</w:t>
      </w:r>
      <w:r>
        <w:rPr>
          <w:rFonts w:hint="default" w:ascii="Arial" w:hAnsi="Arial" w:cs="Arial"/>
          <w:sz w:val="18"/>
          <w:szCs w:val="18"/>
        </w:rPr>
        <w:t xml:space="preserve"> para Sistema de Registro de Preços n° </w:t>
      </w:r>
      <w:r>
        <w:rPr>
          <w:rFonts w:hint="default" w:ascii="Arial" w:hAnsi="Arial" w:cs="Arial"/>
          <w:sz w:val="18"/>
          <w:szCs w:val="18"/>
          <w:lang w:val="pt-BR"/>
        </w:rPr>
        <w:t>018/2026</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018/2026</w:t>
      </w:r>
      <w:r>
        <w:rPr>
          <w:rFonts w:hint="default" w:ascii="Arial" w:hAnsi="Arial" w:cs="Arial"/>
          <w:b/>
          <w:sz w:val="18"/>
          <w:szCs w:val="18"/>
        </w:rPr>
        <w:t xml:space="preserve">, </w:t>
      </w:r>
      <w:r>
        <w:rPr>
          <w:rFonts w:hint="default" w:ascii="Arial" w:hAnsi="Arial" w:cs="Arial"/>
          <w:b/>
          <w:sz w:val="18"/>
          <w:szCs w:val="18"/>
          <w:lang w:val="pt-BR"/>
        </w:rPr>
        <w:t>t</w:t>
      </w:r>
      <w:r>
        <w:rPr>
          <w:rFonts w:hint="default" w:ascii="Arial" w:hAnsi="Arial" w:cs="Arial"/>
          <w:b/>
          <w:sz w:val="18"/>
          <w:szCs w:val="18"/>
        </w:rPr>
        <w:t xml:space="preserve">ipo </w:t>
      </w:r>
      <w:r>
        <w:rPr>
          <w:rFonts w:hint="default" w:ascii="Arial" w:hAnsi="Arial" w:cs="Arial"/>
          <w:b/>
          <w:sz w:val="18"/>
          <w:szCs w:val="18"/>
          <w:lang w:val="pt-BR"/>
        </w:rPr>
        <w:t>menor preço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b/>
          <w:bCs w:val="0"/>
          <w:sz w:val="18"/>
          <w:szCs w:val="18"/>
        </w:rPr>
        <w:t>empresa especializada no fornecimento de medicamentos manipulados, em atendimento às demandas da Secretaria de Saúde da Prefeitura Municipal de Cataguases-MG</w:t>
      </w:r>
      <w:r>
        <w:rPr>
          <w:rFonts w:hint="default" w:ascii="Arial" w:hAnsi="Arial" w:cs="Arial"/>
          <w:b w:val="0"/>
          <w:bCs w:val="0"/>
          <w:color w:val="000000"/>
          <w:sz w:val="18"/>
          <w:szCs w:val="18"/>
        </w:rPr>
        <w:t>,</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b/>
          <w:bCs w:val="0"/>
          <w:sz w:val="18"/>
          <w:szCs w:val="18"/>
        </w:rPr>
        <w:t>empresa especializada no fornecimento de medicamentos manipulados, em atendimento às demandas da Secretaria de Saúde da Prefeitura Municipal de Cataguases-MG</w:t>
      </w:r>
      <w:r>
        <w:rPr>
          <w:rFonts w:hint="default" w:ascii="Arial" w:hAnsi="Arial" w:cs="Arial"/>
          <w:b w:val="0"/>
          <w:bCs/>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5"/>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menor preço por item</w:t>
      </w:r>
      <w:r>
        <w:rPr>
          <w:rFonts w:hint="default" w:ascii="Arial" w:hAnsi="Arial" w:cs="Arial"/>
          <w:sz w:val="18"/>
          <w:szCs w:val="18"/>
        </w:rPr>
        <w:t>, observadas as exigências contidas neste Edital e seus Anexos quanto às especificações do objeto.</w:t>
      </w:r>
    </w:p>
    <w:p w14:paraId="5A1737B7">
      <w:pPr>
        <w:pStyle w:val="271"/>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16"/>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 xml:space="preserve">correrão à </w:t>
      </w:r>
      <w:r>
        <w:rPr>
          <w:rFonts w:hint="default" w:ascii="Arial" w:hAnsi="Arial" w:cs="Arial"/>
          <w:b w:val="0"/>
          <w:bCs w:val="0"/>
          <w:color w:val="000000" w:themeColor="text1"/>
          <w:sz w:val="18"/>
          <w:szCs w:val="18"/>
          <w14:textFill>
            <w14:solidFill>
              <w14:schemeClr w14:val="tx1"/>
            </w14:solidFill>
          </w14:textFill>
        </w:rPr>
        <w:t>conta da dotação orçamentária a ser definida por cada secretaria responsável:</w:t>
      </w:r>
    </w:p>
    <w:p w14:paraId="0CA14451">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 xml:space="preserve">02.008 – Secretaria de Saúde </w:t>
      </w:r>
    </w:p>
    <w:p w14:paraId="31AE70FC">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 xml:space="preserve">10.122 - 0.008 – Cumprimento de Sentenças Judiciais na Área da Saúde. </w:t>
      </w:r>
    </w:p>
    <w:p w14:paraId="3B648E32">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3.3.90.91.00.00.00.00 - 1.500 – Sentenças Judiciais (Ficha 330)</w:t>
      </w:r>
    </w:p>
    <w:p w14:paraId="5C496793">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 xml:space="preserve">02.009 – Fundo Municipal de Saúde </w:t>
      </w:r>
    </w:p>
    <w:p w14:paraId="104BCE02">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10.301 - 2.083–Manutenção e Coordenação das Atividades da Atenção Básica</w:t>
      </w:r>
    </w:p>
    <w:p w14:paraId="646B4C50">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3.3.90.30.00.00.00.00 - 1.600 – Material de Consumo (Ficha 388)</w:t>
      </w:r>
    </w:p>
    <w:p w14:paraId="147EFF29">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 xml:space="preserve">10.302 - 2.084– Manutenção e Coordenação das Atividades da Média e Alta  Complexidade Ambulatorial </w:t>
      </w:r>
    </w:p>
    <w:p w14:paraId="713294AB">
      <w:pPr>
        <w:numPr>
          <w:ilvl w:val="0"/>
          <w:numId w:val="0"/>
        </w:numPr>
        <w:spacing w:line="360" w:lineRule="auto"/>
        <w:ind w:leftChars="0"/>
        <w:jc w:val="both"/>
        <w:rPr>
          <w:rFonts w:hint="default" w:ascii="Arial" w:hAnsi="Arial"/>
          <w:b w:val="0"/>
          <w:bCs w:val="0"/>
          <w:sz w:val="18"/>
          <w:szCs w:val="18"/>
          <w:lang w:eastAsia="ar-SA"/>
        </w:rPr>
      </w:pPr>
      <w:r>
        <w:rPr>
          <w:rFonts w:hint="default" w:ascii="Arial" w:hAnsi="Arial"/>
          <w:b w:val="0"/>
          <w:bCs w:val="0"/>
          <w:sz w:val="18"/>
          <w:szCs w:val="18"/>
          <w:lang w:eastAsia="ar-SA"/>
        </w:rPr>
        <w:t>3.3.90.30.00.00.00.00 - 1.600 – Material de Consumo (Ficha 412)</w:t>
      </w:r>
    </w:p>
    <w:p w14:paraId="7C179EC2">
      <w:pPr>
        <w:spacing w:line="360" w:lineRule="auto"/>
        <w:jc w:val="both"/>
        <w:rPr>
          <w:rFonts w:hint="default" w:ascii="Arial" w:hAnsi="Arial" w:cs="Arial"/>
          <w:b/>
          <w:bCs/>
          <w:sz w:val="18"/>
          <w:szCs w:val="18"/>
          <w:lang w:eastAsia="ar-SA"/>
        </w:rPr>
      </w:pPr>
      <w:r>
        <w:rPr>
          <w:rFonts w:hint="default" w:ascii="Arial" w:hAnsi="Arial" w:cs="Arial"/>
          <w:b/>
          <w:bCs/>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6"/>
          <w:rFonts w:hint="default" w:ascii="Arial" w:hAnsi="Arial" w:eastAsia="Arial" w:cs="Arial"/>
          <w:sz w:val="18"/>
          <w:szCs w:val="18"/>
        </w:rPr>
        <w:t>www.gov.br/compras</w:t>
      </w:r>
      <w:r>
        <w:rPr>
          <w:rStyle w:val="326"/>
          <w:rFonts w:hint="default" w:ascii="Arial" w:hAnsi="Arial" w:eastAsia="Arial" w:cs="Arial"/>
          <w:sz w:val="18"/>
          <w:szCs w:val="18"/>
        </w:rPr>
        <w:fldChar w:fldCharType="end"/>
      </w:r>
      <w:r>
        <w:rPr>
          <w:rFonts w:hint="default" w:ascii="Arial" w:hAnsi="Arial" w:cs="Arial"/>
          <w:sz w:val="18"/>
          <w:szCs w:val="18"/>
        </w:rPr>
        <w:t>).</w:t>
      </w:r>
    </w:p>
    <w:p w14:paraId="3EE44B25">
      <w:pPr>
        <w:pStyle w:val="305"/>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5"/>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5"/>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5"/>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2"/>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2"/>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47A2081D">
      <w:pPr>
        <w:spacing w:line="360" w:lineRule="auto"/>
        <w:jc w:val="both"/>
        <w:rPr>
          <w:rFonts w:ascii="Arial" w:hAnsi="Arial" w:cs="Arial"/>
          <w:b/>
          <w:sz w:val="18"/>
          <w:szCs w:val="18"/>
          <w:highlight w:val="none"/>
          <w:u w:val="single"/>
        </w:rPr>
      </w:pPr>
      <w:bookmarkStart w:id="2" w:name="_Ref113883338"/>
      <w:r>
        <w:rPr>
          <w:rFonts w:ascii="Arial" w:hAnsi="Arial" w:cs="Arial"/>
          <w:b/>
          <w:sz w:val="18"/>
          <w:szCs w:val="18"/>
          <w:highlight w:val="none"/>
          <w:u w:val="single"/>
        </w:rPr>
        <w:t xml:space="preserve">3.7 Para todos os </w:t>
      </w:r>
      <w:r>
        <w:rPr>
          <w:rFonts w:hint="default" w:ascii="Arial" w:hAnsi="Arial" w:cs="Arial"/>
          <w:b/>
          <w:sz w:val="18"/>
          <w:szCs w:val="18"/>
          <w:highlight w:val="none"/>
          <w:u w:val="single"/>
          <w:lang w:val="pt-BR"/>
        </w:rPr>
        <w:t xml:space="preserve">itens </w:t>
      </w:r>
      <w:r>
        <w:rPr>
          <w:rFonts w:ascii="Arial" w:hAnsi="Arial" w:cs="Arial"/>
          <w:b/>
          <w:sz w:val="18"/>
          <w:szCs w:val="18"/>
          <w:highlight w:val="none"/>
          <w:u w:val="single"/>
        </w:rPr>
        <w:t>a participação é exclusiva a Microempresas e Empresas de Pequeno Porte ou equiparadas, nos termos do art. 48 da Lei Complementar nº 123, de 14 de dezembro de 2006.</w:t>
      </w:r>
    </w:p>
    <w:p w14:paraId="6DAF304D">
      <w:pPr>
        <w:pStyle w:val="312"/>
        <w:numPr>
          <w:ilvl w:val="2"/>
          <w:numId w:val="0"/>
        </w:numPr>
        <w:spacing w:before="0" w:after="0" w:line="360" w:lineRule="auto"/>
        <w:ind w:leftChars="0"/>
        <w:rPr>
          <w:i w:val="0"/>
          <w:color w:val="auto"/>
          <w:sz w:val="18"/>
          <w:szCs w:val="18"/>
          <w:highlight w:val="none"/>
        </w:rPr>
      </w:pPr>
      <w:bookmarkStart w:id="3" w:name="_Ref117015508"/>
      <w:r>
        <w:rPr>
          <w:i w:val="0"/>
          <w:color w:val="auto"/>
          <w:sz w:val="18"/>
          <w:szCs w:val="18"/>
          <w:highlight w:val="none"/>
        </w:rPr>
        <w:t>3.7</w:t>
      </w:r>
      <w:r>
        <w:rPr>
          <w:rFonts w:hint="default"/>
          <w:i w:val="0"/>
          <w:color w:val="auto"/>
          <w:sz w:val="18"/>
          <w:szCs w:val="18"/>
          <w:highlight w:val="none"/>
          <w:lang w:val="pt-BR"/>
        </w:rPr>
        <w:t>.1</w:t>
      </w:r>
      <w:r>
        <w:rPr>
          <w:rFonts w:hint="default" w:cs="Arial"/>
          <w:b/>
          <w:sz w:val="18"/>
          <w:szCs w:val="18"/>
          <w:highlight w:val="none"/>
          <w:u w:val="single"/>
          <w:lang w:val="pt-BR"/>
        </w:rPr>
        <w:t xml:space="preserve"> </w:t>
      </w:r>
      <w:r>
        <w:rPr>
          <w:i w:val="0"/>
          <w:color w:val="auto"/>
          <w:sz w:val="18"/>
          <w:szCs w:val="18"/>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07EF4770">
      <w:pPr>
        <w:pStyle w:val="312"/>
        <w:numPr>
          <w:ilvl w:val="2"/>
          <w:numId w:val="0"/>
        </w:numPr>
        <w:spacing w:before="0" w:after="0" w:line="360" w:lineRule="auto"/>
        <w:ind w:leftChars="0"/>
        <w:rPr>
          <w:highlight w:val="none"/>
        </w:rPr>
      </w:pPr>
      <w:r>
        <w:rPr>
          <w:i w:val="0"/>
          <w:color w:val="auto"/>
          <w:sz w:val="18"/>
          <w:szCs w:val="18"/>
          <w:highlight w:val="none"/>
        </w:rPr>
        <w:t>3.7</w:t>
      </w:r>
      <w:r>
        <w:rPr>
          <w:rFonts w:hint="default"/>
          <w:i w:val="0"/>
          <w:color w:val="auto"/>
          <w:sz w:val="18"/>
          <w:szCs w:val="18"/>
          <w:highlight w:val="none"/>
          <w:lang w:val="pt-BR"/>
        </w:rPr>
        <w:t>.2</w:t>
      </w:r>
      <w:r>
        <w:rPr>
          <w:rFonts w:hint="default" w:cs="Arial"/>
          <w:b/>
          <w:sz w:val="18"/>
          <w:szCs w:val="18"/>
          <w:highlight w:val="none"/>
          <w:u w:val="single"/>
          <w:lang w:val="pt-BR"/>
        </w:rPr>
        <w:t xml:space="preserve"> </w:t>
      </w:r>
      <w:r>
        <w:rPr>
          <w:i w:val="0"/>
          <w:color w:val="auto"/>
          <w:sz w:val="18"/>
          <w:szCs w:val="18"/>
          <w:highlight w:val="none"/>
        </w:rPr>
        <w:t xml:space="preserve">Será concedido tratamento favorecido para as microempresas e empresas de pequeno porte, para as sociedades cooperativas </w:t>
      </w:r>
      <w:r>
        <w:rPr>
          <w:rFonts w:eastAsia="Times New Roman"/>
          <w:i w:val="0"/>
          <w:color w:val="auto"/>
          <w:sz w:val="18"/>
          <w:szCs w:val="18"/>
          <w:highlight w:val="none"/>
        </w:rPr>
        <w:t xml:space="preserve">mencionadas no </w:t>
      </w:r>
      <w:r>
        <w:rPr>
          <w:sz w:val="18"/>
          <w:szCs w:val="18"/>
          <w:highlight w:val="none"/>
        </w:rPr>
        <w:fldChar w:fldCharType="begin"/>
      </w:r>
      <w:r>
        <w:rPr>
          <w:sz w:val="18"/>
          <w:szCs w:val="18"/>
          <w:highlight w:val="none"/>
        </w:rPr>
        <w:instrText xml:space="preserve"> HYPERLINK "http://www.planalto.gov.br/ccivil_03/_ato2019-2022/2021/lei/L14133.htm" \l "art16" </w:instrText>
      </w:r>
      <w:r>
        <w:rPr>
          <w:sz w:val="18"/>
          <w:szCs w:val="18"/>
          <w:highlight w:val="none"/>
        </w:rPr>
        <w:fldChar w:fldCharType="separate"/>
      </w:r>
      <w:r>
        <w:rPr>
          <w:rStyle w:val="13"/>
          <w:rFonts w:eastAsia="Times New Roman" w:cs="Arial"/>
          <w:i w:val="0"/>
          <w:color w:val="auto"/>
          <w:sz w:val="18"/>
          <w:szCs w:val="18"/>
          <w:highlight w:val="none"/>
        </w:rPr>
        <w:t xml:space="preserve">artigo </w:t>
      </w:r>
      <w:r>
        <w:rPr>
          <w:rStyle w:val="13"/>
          <w:rFonts w:cs="Arial"/>
          <w:i w:val="0"/>
          <w:color w:val="auto"/>
          <w:sz w:val="18"/>
          <w:szCs w:val="18"/>
          <w:highlight w:val="none"/>
        </w:rPr>
        <w:t>16 da Lei nº 14.133, de 2021</w:t>
      </w:r>
      <w:r>
        <w:rPr>
          <w:rStyle w:val="13"/>
          <w:rFonts w:cs="Arial"/>
          <w:i w:val="0"/>
          <w:color w:val="auto"/>
          <w:sz w:val="18"/>
          <w:szCs w:val="18"/>
          <w:highlight w:val="none"/>
        </w:rPr>
        <w:fldChar w:fldCharType="end"/>
      </w:r>
      <w:r>
        <w:rPr>
          <w:i w:val="0"/>
          <w:color w:val="auto"/>
          <w:sz w:val="18"/>
          <w:szCs w:val="18"/>
          <w:highlight w:val="none"/>
        </w:rPr>
        <w:t xml:space="preserve">, para o agricultor familiar, o produtor rural pessoa física e para o microempreendedor individual - MEI, nos limites previstos da </w:t>
      </w:r>
      <w:r>
        <w:rPr>
          <w:sz w:val="18"/>
          <w:szCs w:val="18"/>
          <w:highlight w:val="none"/>
        </w:rPr>
        <w:fldChar w:fldCharType="begin"/>
      </w:r>
      <w:r>
        <w:rPr>
          <w:sz w:val="18"/>
          <w:szCs w:val="18"/>
          <w:highlight w:val="none"/>
        </w:rPr>
        <w:instrText xml:space="preserve"> HYPERLINK "https://www.planalto.gov.br/ccivil_03/leis/lcp/lcp123.htm" </w:instrText>
      </w:r>
      <w:r>
        <w:rPr>
          <w:sz w:val="18"/>
          <w:szCs w:val="18"/>
          <w:highlight w:val="none"/>
        </w:rPr>
        <w:fldChar w:fldCharType="separate"/>
      </w:r>
      <w:r>
        <w:rPr>
          <w:rStyle w:val="13"/>
          <w:rFonts w:cs="Arial"/>
          <w:i w:val="0"/>
          <w:color w:val="auto"/>
          <w:sz w:val="18"/>
          <w:szCs w:val="18"/>
          <w:highlight w:val="none"/>
        </w:rPr>
        <w:t>Lei Complementar nº 123, de 2006</w:t>
      </w:r>
      <w:r>
        <w:rPr>
          <w:rStyle w:val="13"/>
          <w:rFonts w:cs="Arial"/>
          <w:i w:val="0"/>
          <w:color w:val="auto"/>
          <w:sz w:val="18"/>
          <w:szCs w:val="18"/>
          <w:highlight w:val="none"/>
        </w:rPr>
        <w:fldChar w:fldCharType="end"/>
      </w:r>
      <w:r>
        <w:rPr>
          <w:i w:val="0"/>
          <w:color w:val="auto"/>
          <w:sz w:val="18"/>
          <w:szCs w:val="18"/>
          <w:highlight w:val="none"/>
        </w:rPr>
        <w:t xml:space="preserve"> e do Decreto n.º 8.538, de 2015.</w:t>
      </w:r>
    </w:p>
    <w:p w14:paraId="05761CC6">
      <w:pPr>
        <w:pStyle w:val="312"/>
        <w:numPr>
          <w:ilvl w:val="2"/>
          <w:numId w:val="0"/>
        </w:numPr>
        <w:spacing w:before="0" w:after="0" w:line="360" w:lineRule="auto"/>
        <w:ind w:leftChars="0"/>
        <w:rPr>
          <w:b/>
          <w:bCs/>
          <w:i w:val="0"/>
          <w:color w:val="auto"/>
          <w:sz w:val="18"/>
          <w:szCs w:val="18"/>
          <w:highlight w:val="none"/>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p>
    <w:p w14:paraId="146E4312">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4" w:name="_Ref114659912"/>
    </w:p>
    <w:p w14:paraId="1BE9A40D">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4"/>
      <w:bookmarkStart w:id="5" w:name="_Ref114659913"/>
      <w:bookmarkStart w:id="6" w:name="_Ref113883339"/>
    </w:p>
    <w:p w14:paraId="3B9FB938">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bookmarkEnd w:id="6"/>
      <w:bookmarkStart w:id="7" w:name="_Ref113883003"/>
    </w:p>
    <w:p w14:paraId="2D9A396B">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7"/>
    </w:p>
    <w:p w14:paraId="39CDDA55">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p>
    <w:p w14:paraId="2948EEF7">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8"/>
    </w:p>
    <w:p w14:paraId="05D1169C">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9" w:name="_Ref113962336"/>
    </w:p>
    <w:p w14:paraId="4B2C578D">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9"/>
    </w:p>
    <w:p w14:paraId="7BBC2057">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3"/>
          <w:rFonts w:hint="default" w:ascii="Arial" w:hAnsi="Arial" w:cs="Arial"/>
          <w:i w:val="0"/>
          <w:color w:val="auto"/>
          <w:sz w:val="18"/>
          <w:szCs w:val="18"/>
        </w:rPr>
        <w:t>§ 1º do art. 9º da Lei nº 14.133, de 2021</w:t>
      </w:r>
      <w:r>
        <w:rPr>
          <w:rStyle w:val="13"/>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5"/>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5"/>
        <w:spacing w:before="0" w:after="0" w:line="360" w:lineRule="auto"/>
        <w:rPr>
          <w:rFonts w:hint="default" w:ascii="Arial" w:hAnsi="Arial" w:cs="Arial"/>
          <w:sz w:val="18"/>
          <w:szCs w:val="18"/>
        </w:rPr>
      </w:pPr>
      <w:bookmarkStart w:id="10" w:name="art14§2"/>
      <w:bookmarkEnd w:id="10"/>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5"/>
        <w:spacing w:before="0" w:after="0" w:line="360" w:lineRule="auto"/>
        <w:rPr>
          <w:rFonts w:hint="default" w:ascii="Arial" w:hAnsi="Arial" w:cs="Arial"/>
          <w:sz w:val="18"/>
          <w:szCs w:val="18"/>
        </w:rPr>
      </w:pPr>
      <w:bookmarkStart w:id="11" w:name="art14§3"/>
      <w:bookmarkEnd w:id="11"/>
      <w:r>
        <w:rPr>
          <w:rFonts w:hint="default" w:ascii="Arial" w:hAnsi="Arial" w:cs="Arial"/>
          <w:sz w:val="18"/>
          <w:szCs w:val="18"/>
        </w:rPr>
        <w:t>3.11 Equiparam-se aos autores do projeto as empresas integrantes do mesmo grupo econômico.</w:t>
      </w:r>
    </w:p>
    <w:p w14:paraId="3FCB7608">
      <w:pPr>
        <w:pStyle w:val="305"/>
        <w:spacing w:before="0" w:after="0" w:line="360" w:lineRule="auto"/>
        <w:rPr>
          <w:rFonts w:hint="default" w:ascii="Arial" w:hAnsi="Arial" w:cs="Arial"/>
          <w:sz w:val="18"/>
          <w:szCs w:val="18"/>
        </w:rPr>
      </w:pPr>
      <w:bookmarkStart w:id="12" w:name="art14§4"/>
      <w:bookmarkEnd w:id="12"/>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5"/>
        <w:spacing w:before="0" w:after="0" w:line="360" w:lineRule="auto"/>
        <w:rPr>
          <w:rFonts w:hint="default" w:ascii="Arial" w:hAnsi="Arial" w:cs="Arial"/>
          <w:sz w:val="18"/>
          <w:szCs w:val="18"/>
        </w:rPr>
      </w:pPr>
      <w:bookmarkStart w:id="13" w:name="art14§5"/>
      <w:bookmarkEnd w:id="13"/>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3"/>
          <w:rFonts w:hint="default" w:ascii="Arial" w:hAnsi="Arial" w:cs="Arial"/>
          <w:sz w:val="18"/>
          <w:szCs w:val="18"/>
        </w:rPr>
        <w:t>Lei nº 14.133/2021</w:t>
      </w:r>
      <w:r>
        <w:rPr>
          <w:rStyle w:val="13"/>
          <w:rFonts w:hint="default" w:ascii="Arial" w:hAnsi="Arial" w:cs="Arial"/>
          <w:sz w:val="18"/>
          <w:szCs w:val="18"/>
        </w:rPr>
        <w:fldChar w:fldCharType="end"/>
      </w:r>
      <w:r>
        <w:rPr>
          <w:rFonts w:hint="default" w:ascii="Arial" w:hAnsi="Arial" w:cs="Arial"/>
          <w:sz w:val="18"/>
          <w:szCs w:val="18"/>
        </w:rPr>
        <w:t>.</w:t>
      </w:r>
    </w:p>
    <w:p w14:paraId="154080B6">
      <w:pPr>
        <w:pStyle w:val="305"/>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5"/>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9C42C85">
      <w:pPr>
        <w:pStyle w:val="272"/>
        <w:rPr>
          <w:rFonts w:hint="default" w:ascii="Arial" w:hAnsi="Arial" w:cs="Arial"/>
          <w:sz w:val="18"/>
          <w:szCs w:val="18"/>
        </w:rPr>
      </w:pPr>
    </w:p>
    <w:p w14:paraId="277D730A">
      <w:pPr>
        <w:pStyle w:val="273"/>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4" w:name="_Ref113886867"/>
      <w:bookmarkEnd w:id="14"/>
    </w:p>
    <w:p w14:paraId="42045C8C">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5" w:name="_Ref113889589"/>
      <w:bookmarkEnd w:id="15"/>
    </w:p>
    <w:p w14:paraId="37AEB331">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615BB431">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7"/>
          <w:rFonts w:hint="default" w:ascii="Arial" w:hAnsi="Arial" w:cs="Arial"/>
          <w:sz w:val="18"/>
          <w:szCs w:val="18"/>
        </w:rPr>
        <w:t>artigo 7°, XXXIII, da Constituição</w:t>
      </w:r>
      <w:r>
        <w:rPr>
          <w:rStyle w:val="327"/>
          <w:rFonts w:hint="default" w:ascii="Arial" w:hAnsi="Arial" w:cs="Arial"/>
          <w:sz w:val="18"/>
          <w:szCs w:val="18"/>
        </w:rPr>
        <w:fldChar w:fldCharType="end"/>
      </w:r>
      <w:r>
        <w:rPr>
          <w:rFonts w:hint="default" w:ascii="Arial" w:hAnsi="Arial" w:cs="Arial"/>
          <w:sz w:val="18"/>
          <w:szCs w:val="18"/>
        </w:rPr>
        <w:t>;</w:t>
      </w:r>
    </w:p>
    <w:p w14:paraId="23230533">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7"/>
          <w:rFonts w:hint="default" w:ascii="Arial" w:hAnsi="Arial" w:cs="Arial"/>
          <w:sz w:val="18"/>
          <w:szCs w:val="18"/>
        </w:rPr>
        <w:t>incisos III e IV do art. 1º e no inciso III do art. 5º da Constituição Federal</w:t>
      </w:r>
      <w:r>
        <w:rPr>
          <w:rStyle w:val="327"/>
          <w:rFonts w:hint="default" w:ascii="Arial" w:hAnsi="Arial" w:cs="Arial"/>
          <w:sz w:val="18"/>
          <w:szCs w:val="18"/>
        </w:rPr>
        <w:fldChar w:fldCharType="end"/>
      </w:r>
      <w:r>
        <w:rPr>
          <w:rFonts w:hint="default" w:ascii="Arial" w:hAnsi="Arial" w:cs="Arial"/>
          <w:sz w:val="18"/>
          <w:szCs w:val="18"/>
        </w:rPr>
        <w:t>;</w:t>
      </w:r>
    </w:p>
    <w:p w14:paraId="71609A20">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7"/>
          <w:rFonts w:hint="default" w:ascii="Arial" w:hAnsi="Arial" w:cs="Arial"/>
          <w:sz w:val="18"/>
          <w:szCs w:val="18"/>
        </w:rPr>
        <w:t>artigo 16 da Lei nº 14.133, de 2021</w:t>
      </w:r>
      <w:r>
        <w:rPr>
          <w:rStyle w:val="327"/>
          <w:rFonts w:hint="default" w:ascii="Arial" w:hAnsi="Arial" w:cs="Arial"/>
          <w:sz w:val="18"/>
          <w:szCs w:val="18"/>
        </w:rPr>
        <w:fldChar w:fldCharType="end"/>
      </w:r>
      <w:r>
        <w:rPr>
          <w:rFonts w:hint="default" w:ascii="Arial" w:hAnsi="Arial" w:cs="Arial"/>
          <w:sz w:val="18"/>
          <w:szCs w:val="18"/>
        </w:rPr>
        <w:t>.</w:t>
      </w:r>
      <w:bookmarkStart w:id="16" w:name="_Ref117000019"/>
      <w:bookmarkEnd w:id="16"/>
    </w:p>
    <w:p w14:paraId="3BED02F5">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7"/>
          <w:rFonts w:hint="default" w:ascii="Arial" w:hAnsi="Arial" w:cs="Arial"/>
          <w:sz w:val="18"/>
          <w:szCs w:val="18"/>
        </w:rPr>
        <w:t>artigo 3° da Lei Complementar nº 123, de 2006</w:t>
      </w:r>
      <w:r>
        <w:rPr>
          <w:rStyle w:val="327"/>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7"/>
          <w:rFonts w:hint="default" w:ascii="Arial" w:hAnsi="Arial" w:cs="Arial"/>
          <w:sz w:val="18"/>
          <w:szCs w:val="18"/>
        </w:rPr>
        <w:t>arts. 42 a 49</w:t>
      </w:r>
      <w:r>
        <w:rPr>
          <w:rStyle w:val="327"/>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7"/>
          <w:rFonts w:hint="default" w:ascii="Arial" w:hAnsi="Arial" w:cs="Arial"/>
          <w:sz w:val="18"/>
          <w:szCs w:val="18"/>
        </w:rPr>
        <w:t>§§ 1º ao 3º do art. 4º, da Lei n.º 14.133, de 2021.</w:t>
      </w:r>
      <w:r>
        <w:rPr>
          <w:rStyle w:val="327"/>
          <w:rFonts w:hint="default" w:ascii="Arial" w:hAnsi="Arial" w:cs="Arial"/>
          <w:sz w:val="18"/>
          <w:szCs w:val="18"/>
        </w:rPr>
        <w:fldChar w:fldCharType="end"/>
      </w:r>
    </w:p>
    <w:p w14:paraId="1F41931E">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7"/>
          <w:rFonts w:hint="default" w:ascii="Arial" w:hAnsi="Arial" w:cs="Arial"/>
          <w:sz w:val="18"/>
          <w:szCs w:val="18"/>
        </w:rPr>
        <w:t>Lei Complementar nº 123, de 2006</w:t>
      </w:r>
      <w:r>
        <w:rPr>
          <w:rStyle w:val="327"/>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7"/>
          <w:rFonts w:hint="default" w:ascii="Arial" w:hAnsi="Arial" w:cs="Arial"/>
          <w:sz w:val="18"/>
          <w:szCs w:val="18"/>
        </w:rPr>
        <w:t>Lei nº 14.133, de 2021</w:t>
      </w:r>
      <w:r>
        <w:rPr>
          <w:rStyle w:val="327"/>
          <w:rFonts w:hint="default" w:ascii="Arial" w:hAnsi="Arial" w:cs="Arial"/>
          <w:sz w:val="18"/>
          <w:szCs w:val="18"/>
        </w:rPr>
        <w:fldChar w:fldCharType="end"/>
      </w:r>
      <w:r>
        <w:rPr>
          <w:rFonts w:hint="default" w:ascii="Arial" w:hAnsi="Arial" w:cs="Arial"/>
          <w:sz w:val="18"/>
          <w:szCs w:val="18"/>
        </w:rPr>
        <w:t>, e neste Edital.</w:t>
      </w:r>
    </w:p>
    <w:p w14:paraId="57B2DE27">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7" w:name="_Ref116992247"/>
      <w:bookmarkEnd w:id="17"/>
    </w:p>
    <w:p w14:paraId="3DECD061">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5"/>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6"/>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6"/>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6"/>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B15DF3A">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66671545">
      <w:pPr>
        <w:pStyle w:val="305"/>
        <w:tabs>
          <w:tab w:val="left" w:pos="993"/>
        </w:tabs>
        <w:spacing w:before="0" w:after="0" w:line="240" w:lineRule="auto"/>
        <w:rPr>
          <w:rFonts w:hint="default" w:ascii="Arial" w:hAnsi="Arial" w:cs="Arial"/>
          <w:sz w:val="18"/>
          <w:szCs w:val="18"/>
        </w:rPr>
      </w:pPr>
    </w:p>
    <w:p w14:paraId="4BA2A4DA">
      <w:pPr>
        <w:pStyle w:val="305"/>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57E359E">
      <w:pPr>
        <w:pStyle w:val="306"/>
        <w:numPr>
          <w:ilvl w:val="2"/>
          <w:numId w:val="4"/>
        </w:numPr>
        <w:tabs>
          <w:tab w:val="left" w:pos="851"/>
          <w:tab w:val="left" w:pos="993"/>
        </w:tabs>
        <w:spacing w:before="0" w:after="0" w:line="360" w:lineRule="auto"/>
        <w:ind w:left="0" w:firstLine="0"/>
        <w:rPr>
          <w:b w:val="0"/>
          <w:bCs w:val="0"/>
          <w:sz w:val="18"/>
          <w:szCs w:val="18"/>
        </w:rPr>
      </w:pPr>
      <w:r>
        <w:rPr>
          <w:rFonts w:hint="default" w:ascii="Arial" w:hAnsi="Arial" w:cs="Arial"/>
          <w:b w:val="0"/>
          <w:bCs w:val="0"/>
          <w:sz w:val="18"/>
          <w:szCs w:val="18"/>
        </w:rPr>
        <w:t>Marca;</w:t>
      </w:r>
    </w:p>
    <w:p w14:paraId="18B0B914">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12C7AEA4">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6"/>
          <w:rFonts w:hint="default" w:ascii="Arial" w:hAnsi="Arial" w:cs="Arial"/>
          <w:sz w:val="18"/>
          <w:szCs w:val="18"/>
        </w:rPr>
        <w:t>art. 71, inciso IX, da Constituição</w:t>
      </w:r>
      <w:r>
        <w:rPr>
          <w:rStyle w:val="326"/>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5"/>
        <w:tabs>
          <w:tab w:val="left" w:pos="851"/>
          <w:tab w:val="left" w:pos="993"/>
        </w:tabs>
        <w:spacing w:before="0" w:after="0" w:line="240" w:lineRule="auto"/>
        <w:rPr>
          <w:rFonts w:hint="default" w:ascii="Arial" w:hAnsi="Arial" w:cs="Arial"/>
          <w:sz w:val="18"/>
          <w:szCs w:val="18"/>
        </w:rPr>
      </w:pPr>
    </w:p>
    <w:p w14:paraId="4F9E1FE1">
      <w:pPr>
        <w:pStyle w:val="280"/>
        <w:widowControl w:val="0"/>
        <w:numPr>
          <w:ilvl w:val="0"/>
          <w:numId w:val="5"/>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8" w:name="_Toc122606107"/>
      <w:bookmarkEnd w:id="18"/>
      <w:bookmarkStart w:id="19" w:name="_Hlk114646655"/>
      <w:r>
        <w:rPr>
          <w:rFonts w:hint="default" w:ascii="Arial" w:hAnsi="Arial" w:cs="Arial"/>
          <w:sz w:val="18"/>
          <w:szCs w:val="18"/>
        </w:rPr>
        <w:t>DA ABERTURA DA SESSÃO, CLASSIFICAÇÃO DAS PROPOSTAS E FORMULAÇÃO DE LANCES</w:t>
      </w:r>
      <w:bookmarkEnd w:id="19"/>
    </w:p>
    <w:p w14:paraId="04DAC18C">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5"/>
        <w:numPr>
          <w:ilvl w:val="1"/>
          <w:numId w:val="6"/>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w:t>
      </w:r>
      <w:r>
        <w:rPr>
          <w:b/>
          <w:sz w:val="18"/>
          <w:szCs w:val="18"/>
        </w:rPr>
        <w:t xml:space="preserve">DO </w:t>
      </w:r>
      <w:r>
        <w:rPr>
          <w:rFonts w:hint="default"/>
          <w:b/>
          <w:sz w:val="18"/>
          <w:szCs w:val="18"/>
          <w:lang w:val="pt-BR"/>
        </w:rPr>
        <w:t xml:space="preserve">ITEM. </w:t>
      </w:r>
    </w:p>
    <w:p w14:paraId="5C1B77D1">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cs="Arial"/>
          <w:iCs/>
          <w:color w:val="auto"/>
          <w:sz w:val="18"/>
          <w:szCs w:val="18"/>
          <w:lang w:val="pt-BR"/>
        </w:rPr>
        <w:t xml:space="preserve">R$ </w:t>
      </w:r>
      <w:r>
        <w:rPr>
          <w:rFonts w:hint="default" w:cs="Arial"/>
          <w:iCs/>
          <w:sz w:val="18"/>
          <w:szCs w:val="18"/>
          <w:lang w:val="pt-BR"/>
        </w:rPr>
        <w:t>0,01 (um centavo).</w:t>
      </w:r>
    </w:p>
    <w:p w14:paraId="59E1DB5C">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6"/>
          <w:rFonts w:hint="default" w:ascii="Arial" w:hAnsi="Arial" w:eastAsia="zurich bt" w:cs="Arial"/>
          <w:sz w:val="18"/>
          <w:szCs w:val="18"/>
        </w:rPr>
        <w:t>arts. 44 e 45 da Lei Complementar nº 123, de 2006</w:t>
      </w:r>
      <w:r>
        <w:rPr>
          <w:rStyle w:val="326"/>
          <w:rFonts w:hint="default" w:ascii="Arial" w:hAnsi="Arial" w:eastAsia="zurich bt" w:cs="Arial"/>
          <w:sz w:val="18"/>
          <w:szCs w:val="18"/>
        </w:rPr>
        <w:fldChar w:fldCharType="end"/>
      </w:r>
      <w:r>
        <w:rPr>
          <w:rFonts w:hint="default" w:ascii="Arial" w:hAnsi="Arial" w:cs="Arial"/>
          <w:sz w:val="18"/>
          <w:szCs w:val="18"/>
        </w:rPr>
        <w:t>.</w:t>
      </w:r>
    </w:p>
    <w:p w14:paraId="630E34F5">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6"/>
          <w:rFonts w:hint="default" w:ascii="Arial" w:hAnsi="Arial" w:cs="Arial"/>
          <w:sz w:val="18"/>
          <w:szCs w:val="18"/>
        </w:rPr>
        <w:t>art. 60 da Lei nº 14.133, de 2021</w:t>
      </w:r>
      <w:r>
        <w:rPr>
          <w:rStyle w:val="326"/>
          <w:rFonts w:hint="default" w:ascii="Arial" w:hAnsi="Arial" w:cs="Arial"/>
          <w:sz w:val="18"/>
          <w:szCs w:val="18"/>
        </w:rPr>
        <w:fldChar w:fldCharType="end"/>
      </w:r>
      <w:r>
        <w:rPr>
          <w:rFonts w:hint="default" w:ascii="Arial" w:hAnsi="Arial" w:cs="Arial"/>
          <w:sz w:val="18"/>
          <w:szCs w:val="18"/>
        </w:rPr>
        <w:t>, nesta ordem:</w:t>
      </w:r>
    </w:p>
    <w:p w14:paraId="4EB6CE88">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6"/>
          <w:rFonts w:hint="default" w:ascii="Arial" w:hAnsi="Arial" w:cs="Arial"/>
          <w:sz w:val="18"/>
          <w:szCs w:val="18"/>
        </w:rPr>
        <w:t>Lei nº 12.187, de 29 de dezembro de 2009</w:t>
      </w:r>
      <w:r>
        <w:rPr>
          <w:rStyle w:val="326"/>
          <w:rFonts w:hint="default" w:ascii="Arial" w:hAnsi="Arial" w:cs="Arial"/>
          <w:sz w:val="18"/>
          <w:szCs w:val="18"/>
        </w:rPr>
        <w:fldChar w:fldCharType="end"/>
      </w:r>
      <w:r>
        <w:rPr>
          <w:rFonts w:hint="default" w:ascii="Arial" w:hAnsi="Arial" w:cs="Arial"/>
          <w:sz w:val="18"/>
          <w:szCs w:val="18"/>
        </w:rPr>
        <w:t>.</w:t>
      </w:r>
    </w:p>
    <w:p w14:paraId="78113A2D">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21F513E2">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9FCB1FA">
      <w:pPr>
        <w:pStyle w:val="306"/>
        <w:numPr>
          <w:ilvl w:val="2"/>
          <w:numId w:val="6"/>
        </w:numPr>
        <w:tabs>
          <w:tab w:val="left" w:pos="720"/>
        </w:tabs>
        <w:spacing w:before="0" w:after="0" w:line="360" w:lineRule="auto"/>
        <w:ind w:left="0" w:firstLine="0"/>
        <w:rPr>
          <w:rFonts w:hint="default" w:ascii="Arial" w:hAnsi="Arial" w:cs="Arial"/>
          <w:b/>
          <w:bCs/>
          <w:sz w:val="18"/>
          <w:szCs w:val="18"/>
          <w:u w:val="none"/>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231E6F70">
      <w:pPr>
        <w:pStyle w:val="306"/>
        <w:numPr>
          <w:ilvl w:val="0"/>
          <w:numId w:val="0"/>
        </w:numPr>
        <w:tabs>
          <w:tab w:val="left" w:pos="720"/>
        </w:tabs>
        <w:spacing w:before="0" w:after="0" w:line="360" w:lineRule="auto"/>
        <w:ind w:leftChars="0"/>
        <w:rPr>
          <w:rFonts w:hint="default" w:ascii="Arial" w:hAnsi="Arial" w:cs="Arial"/>
          <w:sz w:val="18"/>
          <w:szCs w:val="18"/>
        </w:rPr>
      </w:pPr>
      <w:r>
        <w:rPr>
          <w:rFonts w:hint="default" w:cs="Arial"/>
          <w:sz w:val="18"/>
          <w:szCs w:val="18"/>
          <w:lang w:val="pt-BR"/>
        </w:rPr>
        <w:t xml:space="preserve">6.21 </w:t>
      </w:r>
      <w:r>
        <w:rPr>
          <w:rFonts w:hint="default" w:ascii="Arial" w:hAnsi="Arial" w:cs="Arial"/>
          <w:sz w:val="18"/>
          <w:szCs w:val="18"/>
        </w:rPr>
        <w:t>Após a negociação do preço, o Agente de Contratação iniciará a fase de aceitação e julgamento da proposta.</w:t>
      </w:r>
    </w:p>
    <w:p w14:paraId="161E56A3">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6.22 </w:t>
      </w: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18223A52">
      <w:pPr>
        <w:pStyle w:val="305"/>
        <w:tabs>
          <w:tab w:val="left" w:pos="851"/>
          <w:tab w:val="left" w:pos="993"/>
        </w:tabs>
        <w:spacing w:before="0" w:after="0" w:line="240" w:lineRule="auto"/>
        <w:rPr>
          <w:rFonts w:hint="default" w:ascii="Arial" w:hAnsi="Arial" w:cs="Arial"/>
          <w:sz w:val="18"/>
          <w:szCs w:val="18"/>
        </w:rPr>
      </w:pPr>
    </w:p>
    <w:p w14:paraId="617BED21">
      <w:pPr>
        <w:pStyle w:val="222"/>
        <w:numPr>
          <w:ilvl w:val="0"/>
          <w:numId w:val="5"/>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2"/>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6"/>
          <w:rFonts w:hint="default" w:ascii="Arial" w:hAnsi="Arial" w:cs="Arial"/>
          <w:sz w:val="18"/>
          <w:szCs w:val="18"/>
        </w:rPr>
        <w:t>art. 14 da Lei nº 14.133/2021</w:t>
      </w:r>
      <w:r>
        <w:rPr>
          <w:rStyle w:val="326"/>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2"/>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https://www.portaltransparencia.gov.br/sancoes/ceis</w:t>
      </w:r>
      <w:r>
        <w:rPr>
          <w:rStyle w:val="326"/>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2"/>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2"/>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https://www.portaltransparencia.gov.br/sancoes/cnep</w:t>
      </w:r>
      <w:r>
        <w:rPr>
          <w:rStyle w:val="326"/>
          <w:rFonts w:hint="default" w:ascii="Arial" w:hAnsi="Arial" w:cs="Arial"/>
          <w:color w:val="auto"/>
          <w:sz w:val="18"/>
          <w:szCs w:val="18"/>
        </w:rPr>
        <w:fldChar w:fldCharType="end"/>
      </w:r>
      <w:r>
        <w:rPr>
          <w:rFonts w:hint="default" w:ascii="Arial" w:hAnsi="Arial" w:cs="Arial"/>
          <w:sz w:val="18"/>
          <w:szCs w:val="18"/>
        </w:rPr>
        <w:t>).</w:t>
      </w:r>
    </w:p>
    <w:p w14:paraId="725EB89B">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6"/>
          <w:rFonts w:hint="default" w:ascii="Arial" w:hAnsi="Arial" w:cs="Arial"/>
          <w:sz w:val="18"/>
          <w:szCs w:val="18"/>
        </w:rPr>
        <w:t>artigo 12 da Lei n° 8.429, de 1992</w:t>
      </w:r>
      <w:r>
        <w:rPr>
          <w:rStyle w:val="326"/>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29,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7F4AB838">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§1º</w:t>
      </w:r>
      <w:r>
        <w:rPr>
          <w:rStyle w:val="326"/>
          <w:rFonts w:hint="default" w:ascii="Arial" w:hAnsi="Arial" w:cs="Arial"/>
          <w:sz w:val="18"/>
          <w:szCs w:val="18"/>
        </w:rPr>
        <w:fldChar w:fldCharType="end"/>
      </w:r>
      <w:r>
        <w:rPr>
          <w:rFonts w:hint="default" w:ascii="Arial" w:hAnsi="Arial" w:cs="Arial"/>
          <w:sz w:val="18"/>
          <w:szCs w:val="18"/>
        </w:rPr>
        <w:t>).</w:t>
      </w:r>
    </w:p>
    <w:p w14:paraId="0C44FBFF">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§2º</w:t>
      </w:r>
      <w:r>
        <w:rPr>
          <w:rStyle w:val="326"/>
          <w:rFonts w:hint="default" w:ascii="Arial" w:hAnsi="Arial" w:cs="Arial"/>
          <w:sz w:val="18"/>
          <w:szCs w:val="18"/>
        </w:rPr>
        <w:fldChar w:fldCharType="end"/>
      </w:r>
      <w:r>
        <w:rPr>
          <w:rFonts w:hint="default" w:ascii="Arial" w:hAnsi="Arial" w:cs="Arial"/>
          <w:sz w:val="18"/>
          <w:szCs w:val="18"/>
        </w:rPr>
        <w:t>).</w:t>
      </w:r>
    </w:p>
    <w:p w14:paraId="44D7EB39">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artigo 29 a 35 da IN SEGES nº 73, de 30 de setembro de 2022</w:t>
      </w:r>
      <w:r>
        <w:rPr>
          <w:rStyle w:val="326"/>
          <w:rFonts w:hint="default" w:ascii="Arial" w:hAnsi="Arial" w:cs="Arial"/>
          <w:sz w:val="18"/>
          <w:szCs w:val="18"/>
        </w:rPr>
        <w:fldChar w:fldCharType="end"/>
      </w:r>
      <w:r>
        <w:rPr>
          <w:rFonts w:hint="default" w:ascii="Arial" w:hAnsi="Arial" w:cs="Arial"/>
          <w:sz w:val="18"/>
          <w:szCs w:val="18"/>
        </w:rPr>
        <w:t>.</w:t>
      </w:r>
    </w:p>
    <w:p w14:paraId="11517942">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32D74374">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41D616BB">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5"/>
        <w:numPr>
          <w:ilvl w:val="1"/>
          <w:numId w:val="7"/>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1AC01571">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5"/>
        <w:numPr>
          <w:ilvl w:val="1"/>
          <w:numId w:val="7"/>
        </w:numPr>
        <w:tabs>
          <w:tab w:val="left" w:pos="709"/>
          <w:tab w:val="left" w:pos="851"/>
          <w:tab w:val="left" w:pos="993"/>
        </w:tabs>
        <w:spacing w:before="0" w:after="0" w:line="360" w:lineRule="auto"/>
        <w:ind w:left="0" w:firstLine="0"/>
        <w:rPr>
          <w:rFonts w:hint="default" w:ascii="Arial" w:hAnsi="Arial" w:eastAsia="LiberationSerif-Bold"/>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E451087">
      <w:pPr>
        <w:pStyle w:val="305"/>
        <w:numPr>
          <w:ilvl w:val="0"/>
          <w:numId w:val="0"/>
        </w:numPr>
        <w:tabs>
          <w:tab w:val="left" w:pos="709"/>
          <w:tab w:val="left" w:pos="851"/>
          <w:tab w:val="left" w:pos="993"/>
        </w:tabs>
        <w:spacing w:before="0" w:after="0" w:line="360" w:lineRule="auto"/>
        <w:ind w:leftChars="0"/>
        <w:rPr>
          <w:rFonts w:hint="default" w:ascii="Arial" w:hAnsi="Arial" w:eastAsia="LiberationSerif-Bold"/>
          <w:bCs/>
          <w:sz w:val="18"/>
          <w:szCs w:val="18"/>
          <w:lang w:eastAsia="zh-CN"/>
        </w:rPr>
      </w:pPr>
    </w:p>
    <w:p w14:paraId="3490262C">
      <w:pPr>
        <w:pStyle w:val="280"/>
        <w:widowControl w:val="0"/>
        <w:numPr>
          <w:ilvl w:val="0"/>
          <w:numId w:val="0"/>
        </w:numPr>
        <w:tabs>
          <w:tab w:val="clear" w:pos="567"/>
        </w:tabs>
        <w:autoSpaceDN w:val="0"/>
        <w:spacing w:before="0" w:line="360" w:lineRule="auto"/>
        <w:rPr>
          <w:rFonts w:hint="default" w:ascii="Arial" w:hAnsi="Arial" w:cs="Arial"/>
          <w:sz w:val="18"/>
          <w:szCs w:val="18"/>
        </w:rPr>
      </w:pPr>
      <w:bookmarkStart w:id="20" w:name="_Toc122606109"/>
      <w:bookmarkEnd w:id="20"/>
      <w:r>
        <w:rPr>
          <w:rFonts w:hint="default" w:ascii="Arial" w:hAnsi="Arial" w:cs="Arial"/>
          <w:sz w:val="18"/>
          <w:szCs w:val="18"/>
        </w:rPr>
        <w:t>8   DA FASE DE HABILITAÇÃO</w:t>
      </w:r>
    </w:p>
    <w:p w14:paraId="4517BF1F">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6"/>
          <w:rFonts w:hint="default" w:ascii="Arial" w:hAnsi="Arial" w:cs="Arial"/>
          <w:sz w:val="18"/>
          <w:szCs w:val="18"/>
        </w:rPr>
        <w:t>arts. 62 a 70 da Lei nº 14.133, de 2021</w:t>
      </w:r>
      <w:r>
        <w:rPr>
          <w:rStyle w:val="326"/>
          <w:rFonts w:hint="default" w:ascii="Arial" w:hAnsi="Arial" w:cs="Arial"/>
          <w:sz w:val="18"/>
          <w:szCs w:val="18"/>
        </w:rPr>
        <w:fldChar w:fldCharType="end"/>
      </w:r>
      <w:r>
        <w:rPr>
          <w:rFonts w:hint="default" w:ascii="Arial" w:hAnsi="Arial" w:cs="Arial"/>
          <w:sz w:val="18"/>
          <w:szCs w:val="18"/>
        </w:rPr>
        <w:t>.</w:t>
      </w:r>
      <w:bookmarkStart w:id="21" w:name="_Ref114663777"/>
      <w:bookmarkEnd w:id="21"/>
    </w:p>
    <w:p w14:paraId="43E5CEEE">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6"/>
          <w:rFonts w:hint="default" w:ascii="Arial" w:hAnsi="Arial" w:cs="Arial"/>
          <w:sz w:val="18"/>
          <w:szCs w:val="18"/>
        </w:rPr>
        <w:t>art. 63, I, da Lei nº 14.133/2021</w:t>
      </w:r>
      <w:r>
        <w:rPr>
          <w:rStyle w:val="326"/>
          <w:rFonts w:hint="default" w:ascii="Arial" w:hAnsi="Arial" w:cs="Arial"/>
          <w:sz w:val="18"/>
          <w:szCs w:val="18"/>
        </w:rPr>
        <w:fldChar w:fldCharType="end"/>
      </w:r>
      <w:r>
        <w:rPr>
          <w:rFonts w:hint="default" w:ascii="Arial" w:hAnsi="Arial" w:cs="Arial"/>
          <w:sz w:val="18"/>
          <w:szCs w:val="18"/>
        </w:rPr>
        <w:t>).</w:t>
      </w:r>
    </w:p>
    <w:p w14:paraId="7D1B7067">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3"/>
          <w:rFonts w:hint="default" w:ascii="Arial" w:hAnsi="Arial" w:cs="Arial"/>
          <w:b/>
          <w:sz w:val="18"/>
          <w:szCs w:val="18"/>
        </w:rPr>
        <w:t>Regularidade Fiscal Federal e trabalhista</w:t>
      </w:r>
      <w:r>
        <w:rPr>
          <w:rStyle w:val="13"/>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07D6EBC0">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3"/>
          <w:rFonts w:hint="default" w:ascii="Arial" w:hAnsi="Arial" w:cs="Arial"/>
          <w:b/>
          <w:sz w:val="18"/>
          <w:szCs w:val="18"/>
        </w:rPr>
        <w:t>Regularidade Fiscal Estadual e Municipal</w:t>
      </w:r>
      <w:r>
        <w:rPr>
          <w:rStyle w:val="13"/>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447FE00B">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40C832BA">
      <w:pPr>
        <w:tabs>
          <w:tab w:val="left" w:pos="993"/>
        </w:tabs>
        <w:spacing w:line="360" w:lineRule="auto"/>
        <w:jc w:val="both"/>
        <w:rPr>
          <w:rFonts w:hint="default" w:ascii="Arial" w:hAnsi="Arial" w:cs="Arial"/>
          <w:sz w:val="18"/>
          <w:szCs w:val="18"/>
        </w:rPr>
      </w:pPr>
    </w:p>
    <w:p w14:paraId="5BE9E041">
      <w:pPr>
        <w:pStyle w:val="222"/>
        <w:numPr>
          <w:ilvl w:val="2"/>
          <w:numId w:val="9"/>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ascii="Arial" w:hAnsi="Arial" w:cs="Arial"/>
          <w:b/>
          <w:sz w:val="18"/>
          <w:szCs w:val="18"/>
          <w:highlight w:val="yellow"/>
        </w:rPr>
      </w:pPr>
      <w:r>
        <w:rPr>
          <w:rFonts w:ascii="Arial" w:hAnsi="Arial" w:cs="Arial"/>
          <w:b/>
          <w:sz w:val="18"/>
          <w:szCs w:val="18"/>
          <w:highlight w:val="yellow"/>
        </w:rPr>
        <w:t xml:space="preserve">Nível V - Da Qualificação Técnica </w:t>
      </w:r>
    </w:p>
    <w:p w14:paraId="3C478EF2">
      <w:pPr>
        <w:tabs>
          <w:tab w:val="left" w:pos="3115"/>
        </w:tabs>
        <w:spacing w:line="360" w:lineRule="auto"/>
        <w:jc w:val="both"/>
        <w:rPr>
          <w:rFonts w:ascii="Arial" w:hAnsi="Arial" w:eastAsia="Times New Roman" w:cs="Arial"/>
          <w:sz w:val="18"/>
          <w:szCs w:val="18"/>
        </w:rPr>
      </w:pPr>
      <w:r>
        <w:rPr>
          <w:rFonts w:hint="default" w:ascii="Arial" w:hAnsi="Arial" w:eastAsia="Times New Roman" w:cs="Arial"/>
          <w:sz w:val="18"/>
          <w:szCs w:val="18"/>
          <w:lang w:val="pt-BR"/>
        </w:rPr>
        <w:t xml:space="preserve">8.9.5.1 </w:t>
      </w:r>
      <w:r>
        <w:rPr>
          <w:rFonts w:ascii="Arial" w:hAnsi="Arial" w:eastAsia="Times New Roman" w:cs="Arial"/>
          <w:sz w:val="18"/>
          <w:szCs w:val="18"/>
        </w:rPr>
        <w:t>Comprovação de aptidão para o fornecimento de bens similares de complexidade tecnológica e operacional equivalente ou superior com o objeto, ou com o item pertinente, por meio da apresentação de certidões ou atestados, por pessoas jurídicas de direito público ou privado.</w:t>
      </w:r>
    </w:p>
    <w:p w14:paraId="2043A4B2">
      <w:pPr>
        <w:tabs>
          <w:tab w:val="left" w:pos="3115"/>
        </w:tabs>
        <w:spacing w:line="360" w:lineRule="auto"/>
        <w:jc w:val="both"/>
        <w:rPr>
          <w:rFonts w:ascii="Arial" w:hAnsi="Arial" w:eastAsia="Times New Roman" w:cs="Arial"/>
          <w:sz w:val="18"/>
          <w:szCs w:val="18"/>
        </w:rPr>
      </w:pPr>
      <w:r>
        <w:rPr>
          <w:rFonts w:hint="default" w:ascii="Arial" w:hAnsi="Arial" w:eastAsia="Times New Roman" w:cs="Arial"/>
          <w:b w:val="0"/>
          <w:bCs w:val="0"/>
          <w:sz w:val="18"/>
          <w:szCs w:val="18"/>
          <w:lang w:val="pt-BR"/>
        </w:rPr>
        <w:t>8.9.5.1.1</w:t>
      </w:r>
      <w:r>
        <w:rPr>
          <w:rFonts w:hint="default" w:ascii="Arial" w:hAnsi="Arial" w:eastAsia="Times New Roman" w:cs="Arial"/>
          <w:b/>
          <w:bCs/>
          <w:sz w:val="18"/>
          <w:szCs w:val="18"/>
          <w:lang w:val="pt-BR"/>
        </w:rPr>
        <w:t xml:space="preserve"> </w:t>
      </w:r>
      <w:r>
        <w:rPr>
          <w:rFonts w:ascii="Arial" w:hAnsi="Arial" w:eastAsia="Times New Roman" w:cs="Arial"/>
          <w:sz w:val="18"/>
          <w:szCs w:val="18"/>
        </w:rPr>
        <w:t>Os atestados de capacidade técnica poderão ser apresentados em nome da matriz ou da filial do fornecedor.</w:t>
      </w:r>
    </w:p>
    <w:p w14:paraId="5E11FEC7">
      <w:pPr>
        <w:tabs>
          <w:tab w:val="left" w:pos="3115"/>
        </w:tabs>
        <w:spacing w:line="360" w:lineRule="auto"/>
        <w:jc w:val="both"/>
        <w:rPr>
          <w:rFonts w:ascii="Arial" w:hAnsi="Arial" w:eastAsia="Times New Roman" w:cs="Arial"/>
          <w:sz w:val="18"/>
          <w:szCs w:val="18"/>
        </w:rPr>
      </w:pPr>
      <w:r>
        <w:rPr>
          <w:rFonts w:hint="default" w:ascii="Arial" w:hAnsi="Arial" w:eastAsia="Times New Roman" w:cs="Arial"/>
          <w:b w:val="0"/>
          <w:bCs w:val="0"/>
          <w:sz w:val="18"/>
          <w:szCs w:val="18"/>
          <w:lang w:val="pt-BR"/>
        </w:rPr>
        <w:t>8.9.5.2</w:t>
      </w:r>
      <w:r>
        <w:rPr>
          <w:rFonts w:hint="default" w:ascii="Arial" w:hAnsi="Arial" w:eastAsia="Times New Roman" w:cs="Arial"/>
          <w:b/>
          <w:bCs/>
          <w:sz w:val="18"/>
          <w:szCs w:val="18"/>
          <w:lang w:val="pt-BR"/>
        </w:rPr>
        <w:t xml:space="preserve"> </w:t>
      </w:r>
      <w:r>
        <w:rPr>
          <w:rFonts w:ascii="Arial" w:hAnsi="Arial" w:eastAsia="Times New Roman" w:cs="Arial"/>
          <w:sz w:val="18"/>
          <w:szCs w:val="18"/>
        </w:rPr>
        <w:t>Deverão ainda ser apresentadas:</w:t>
      </w:r>
      <w:r>
        <w:rPr>
          <w:rFonts w:ascii="Arial" w:hAnsi="Arial" w:eastAsia="Times New Roman" w:cs="Arial"/>
          <w:sz w:val="18"/>
          <w:szCs w:val="18"/>
        </w:rPr>
        <w:br w:type="textWrapping"/>
      </w:r>
      <w:r>
        <w:rPr>
          <w:rFonts w:ascii="Arial" w:hAnsi="Arial" w:eastAsia="Times New Roman" w:cs="Arial"/>
          <w:sz w:val="18"/>
          <w:szCs w:val="18"/>
        </w:rPr>
        <w:t>a) Licença Sanitária expedida pelo órgão competente, em plena vigência;</w:t>
      </w:r>
      <w:r>
        <w:rPr>
          <w:rFonts w:ascii="Arial" w:hAnsi="Arial" w:eastAsia="Times New Roman" w:cs="Arial"/>
          <w:sz w:val="18"/>
          <w:szCs w:val="18"/>
        </w:rPr>
        <w:br w:type="textWrapping"/>
      </w:r>
      <w:r>
        <w:rPr>
          <w:rFonts w:ascii="Arial" w:hAnsi="Arial" w:eastAsia="Times New Roman" w:cs="Arial"/>
          <w:sz w:val="18"/>
          <w:szCs w:val="18"/>
        </w:rPr>
        <w:t>b) Alvará de Localização expedido pelo Município da empresa;</w:t>
      </w:r>
      <w:r>
        <w:rPr>
          <w:rFonts w:ascii="Arial" w:hAnsi="Arial" w:eastAsia="Times New Roman" w:cs="Arial"/>
          <w:sz w:val="18"/>
          <w:szCs w:val="18"/>
        </w:rPr>
        <w:br w:type="textWrapping"/>
      </w:r>
      <w:r>
        <w:rPr>
          <w:rFonts w:ascii="Arial" w:hAnsi="Arial" w:eastAsia="Times New Roman" w:cs="Arial"/>
          <w:sz w:val="18"/>
          <w:szCs w:val="18"/>
        </w:rPr>
        <w:t>c) Autorização de Funcionamento de Empresa (AFE) expedida pela Agência Nacional de Vigilância Sanitária (ANVISA), devidamente atualizada;</w:t>
      </w:r>
      <w:r>
        <w:rPr>
          <w:rFonts w:ascii="Arial" w:hAnsi="Arial" w:eastAsia="Times New Roman" w:cs="Arial"/>
          <w:sz w:val="18"/>
          <w:szCs w:val="18"/>
        </w:rPr>
        <w:br w:type="textWrapping"/>
      </w:r>
      <w:r>
        <w:rPr>
          <w:rFonts w:ascii="Arial" w:hAnsi="Arial" w:eastAsia="Times New Roman" w:cs="Arial"/>
          <w:sz w:val="18"/>
          <w:szCs w:val="18"/>
        </w:rPr>
        <w:t>d) Autorização de Funcionamento Especial (AE) expedida pela Agência Nacional de Vigilância Sanitária (ANVISA), devidamente atualizada.</w:t>
      </w:r>
    </w:p>
    <w:p w14:paraId="03DB1A87">
      <w:pPr>
        <w:tabs>
          <w:tab w:val="left" w:pos="3115"/>
        </w:tabs>
        <w:spacing w:line="360" w:lineRule="auto"/>
        <w:jc w:val="both"/>
        <w:rPr>
          <w:rFonts w:ascii="Arial" w:hAnsi="Arial" w:eastAsia="Times New Roman" w:cs="Arial"/>
          <w:b w:val="0"/>
          <w:bCs w:val="0"/>
          <w:sz w:val="18"/>
          <w:szCs w:val="18"/>
        </w:rPr>
      </w:pPr>
      <w:r>
        <w:rPr>
          <w:rFonts w:hint="default" w:ascii="Arial" w:hAnsi="Arial" w:eastAsia="Times New Roman" w:cs="Arial"/>
          <w:b w:val="0"/>
          <w:bCs w:val="0"/>
          <w:sz w:val="18"/>
          <w:szCs w:val="18"/>
          <w:lang w:val="pt-BR"/>
        </w:rPr>
        <w:t xml:space="preserve">8.9.5.3 </w:t>
      </w:r>
      <w:r>
        <w:rPr>
          <w:rFonts w:ascii="Arial" w:hAnsi="Arial" w:eastAsia="Times New Roman" w:cs="Arial"/>
          <w:b w:val="0"/>
          <w:bCs w:val="0"/>
          <w:sz w:val="18"/>
          <w:szCs w:val="18"/>
        </w:rPr>
        <w:t>As empresas que não exerçam atividades sujeitas à Autorização de Funcionamento (AFE) ou Autorização Especial (AE) deverão apresentar declaração de inexistência de obrigatoriedade</w:t>
      </w:r>
      <w:r>
        <w:rPr>
          <w:rFonts w:hint="default" w:ascii="Arial" w:hAnsi="Arial" w:eastAsia="Times New Roman" w:cs="Arial"/>
          <w:b w:val="0"/>
          <w:bCs w:val="0"/>
          <w:sz w:val="18"/>
          <w:szCs w:val="18"/>
          <w:lang w:val="pt-BR"/>
        </w:rPr>
        <w:t xml:space="preserve"> conforme modelo Anexo X</w:t>
      </w:r>
      <w:r>
        <w:rPr>
          <w:rFonts w:hint="default" w:ascii="Arial" w:hAnsi="Arial" w:cs="Arial"/>
          <w:b w:val="0"/>
          <w:bCs w:val="0"/>
          <w:sz w:val="18"/>
          <w:szCs w:val="18"/>
          <w:lang w:val="pt-BR"/>
        </w:rPr>
        <w:t>IV</w:t>
      </w:r>
      <w:r>
        <w:rPr>
          <w:rFonts w:ascii="Arial" w:hAnsi="Arial" w:eastAsia="Times New Roman" w:cs="Arial"/>
          <w:b w:val="0"/>
          <w:bCs w:val="0"/>
          <w:sz w:val="18"/>
          <w:szCs w:val="18"/>
        </w:rPr>
        <w:t>, acompanhada da respectiva fundamentação legal.</w:t>
      </w:r>
    </w:p>
    <w:p w14:paraId="2F70058F">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(2025 e 2024)</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59FFBB7">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FFFD685">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val="0"/>
          <w:bCs w:val="0"/>
          <w:color w:val="101010"/>
          <w:spacing w:val="-2"/>
          <w:sz w:val="18"/>
          <w:szCs w:val="18"/>
        </w:rPr>
      </w:pPr>
      <w:r>
        <w:rPr>
          <w:rFonts w:hint="default" w:ascii="Arial" w:hAnsi="Arial" w:cs="Arial"/>
          <w:b w:val="0"/>
          <w:bCs w:val="0"/>
          <w:color w:val="101010"/>
          <w:sz w:val="18"/>
          <w:szCs w:val="18"/>
          <w:lang w:val="pt-BR"/>
        </w:rPr>
        <w:t xml:space="preserve">8.9.6.2.2. </w:t>
      </w:r>
      <w:r>
        <w:rPr>
          <w:rFonts w:hint="default" w:ascii="Arial" w:hAnsi="Arial" w:cs="Arial"/>
          <w:b w:val="0"/>
          <w:bCs w:val="0"/>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b w:val="0"/>
          <w:bCs w:val="0"/>
          <w:color w:val="101010"/>
          <w:spacing w:val="40"/>
          <w:sz w:val="18"/>
          <w:szCs w:val="18"/>
        </w:rPr>
        <w:t xml:space="preserve"> </w:t>
      </w:r>
      <w:r>
        <w:rPr>
          <w:rFonts w:hint="default" w:ascii="Arial" w:hAnsi="Arial" w:cs="Arial"/>
          <w:b w:val="0"/>
          <w:bCs w:val="0"/>
          <w:color w:val="101010"/>
          <w:sz w:val="18"/>
          <w:szCs w:val="18"/>
        </w:rPr>
        <w:t>devidamente autenticado na Junta Comercial da sede ou domicílio da licitante ou em outro órgão</w:t>
      </w:r>
      <w:r>
        <w:rPr>
          <w:rFonts w:hint="default" w:ascii="Arial" w:hAnsi="Arial" w:cs="Arial"/>
          <w:b w:val="0"/>
          <w:bCs w:val="0"/>
          <w:color w:val="101010"/>
          <w:spacing w:val="80"/>
          <w:sz w:val="18"/>
          <w:szCs w:val="18"/>
        </w:rPr>
        <w:t xml:space="preserve"> </w:t>
      </w:r>
      <w:r>
        <w:rPr>
          <w:rFonts w:hint="default" w:ascii="Arial" w:hAnsi="Arial" w:cs="Arial"/>
          <w:b w:val="0"/>
          <w:bCs w:val="0"/>
          <w:color w:val="101010"/>
          <w:spacing w:val="-2"/>
          <w:sz w:val="18"/>
          <w:szCs w:val="18"/>
        </w:rPr>
        <w:t>equivalente;</w:t>
      </w:r>
    </w:p>
    <w:p w14:paraId="4EE93A13">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b w:val="0"/>
          <w:bCs w:val="0"/>
          <w:color w:val="101010"/>
          <w:spacing w:val="-2"/>
          <w:sz w:val="18"/>
          <w:szCs w:val="18"/>
          <w:lang w:val="pt-BR"/>
        </w:rPr>
        <w:t xml:space="preserve">8.9.6.2.3 </w:t>
      </w:r>
      <w:r>
        <w:rPr>
          <w:rFonts w:hint="default" w:ascii="Arial" w:hAnsi="Arial" w:cs="Arial"/>
          <w:b w:val="0"/>
          <w:bCs w:val="0"/>
          <w:color w:val="101010"/>
          <w:sz w:val="18"/>
          <w:szCs w:val="18"/>
        </w:rPr>
        <w:t>Quando</w:t>
      </w:r>
      <w:r>
        <w:rPr>
          <w:rFonts w:hint="default" w:ascii="Arial" w:hAnsi="Arial" w:cs="Arial"/>
          <w:color w:val="101010"/>
          <w:sz w:val="18"/>
          <w:szCs w:val="18"/>
        </w:rPr>
        <w:t xml:space="preserve"> se tratar de sociedade constituída há menos de dois anos, os documentos referidos limitar– se–ão ao último exercício.</w:t>
      </w:r>
    </w:p>
    <w:p w14:paraId="51A0313F">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3D594A6A">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8"/>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8"/>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4F33891A">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0B22AEE3">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p>
    <w:p w14:paraId="7AD5C51D">
      <w:pPr>
        <w:pStyle w:val="306"/>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IN nº 3/2018, art. 4º, §1º, e art. 6º, §4º</w:t>
      </w:r>
      <w:r>
        <w:rPr>
          <w:rStyle w:val="326"/>
          <w:rFonts w:hint="default" w:ascii="Arial" w:hAnsi="Arial" w:cs="Arial"/>
          <w:sz w:val="18"/>
          <w:szCs w:val="18"/>
        </w:rPr>
        <w:fldChar w:fldCharType="end"/>
      </w:r>
      <w:r>
        <w:rPr>
          <w:rFonts w:hint="default" w:ascii="Arial" w:hAnsi="Arial" w:cs="Arial"/>
          <w:sz w:val="18"/>
          <w:szCs w:val="18"/>
        </w:rPr>
        <w:t>).</w:t>
      </w:r>
    </w:p>
    <w:p w14:paraId="6ED46D0B">
      <w:pPr>
        <w:pStyle w:val="306"/>
        <w:tabs>
          <w:tab w:val="left" w:pos="993"/>
        </w:tabs>
        <w:spacing w:before="0" w:after="0" w:line="240" w:lineRule="auto"/>
        <w:ind w:left="0"/>
        <w:rPr>
          <w:rFonts w:hint="default" w:ascii="Arial" w:hAnsi="Arial" w:cs="Arial"/>
          <w:sz w:val="18"/>
          <w:szCs w:val="18"/>
        </w:rPr>
      </w:pPr>
    </w:p>
    <w:p w14:paraId="15FF2B4B">
      <w:pPr>
        <w:pStyle w:val="222"/>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66B8AF4A">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IV</w:t>
      </w:r>
    </w:p>
    <w:p w14:paraId="4760056B">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8.9.8.2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3C77605D">
      <w:pPr>
        <w:pStyle w:val="222"/>
        <w:spacing w:line="240" w:lineRule="auto"/>
        <w:ind w:left="0"/>
        <w:jc w:val="both"/>
        <w:rPr>
          <w:rFonts w:hint="default" w:ascii="Arial" w:hAnsi="Arial" w:eastAsia="Arial" w:cs="Arial"/>
          <w:b/>
          <w:sz w:val="18"/>
          <w:szCs w:val="18"/>
        </w:rPr>
      </w:pPr>
    </w:p>
    <w:p w14:paraId="1F1BD9CB">
      <w:pPr>
        <w:pStyle w:val="305"/>
        <w:numPr>
          <w:ilvl w:val="0"/>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8</w:t>
      </w:r>
      <w:r>
        <w:rPr>
          <w:rFonts w:hint="default" w:ascii="Arial" w:hAnsi="Arial" w:cs="Arial"/>
          <w:sz w:val="18"/>
          <w:szCs w:val="18"/>
          <w:lang w:val="pt-BR"/>
        </w:rPr>
        <w:t xml:space="preserve">.10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7º,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7DE857B9">
      <w:pPr>
        <w:pStyle w:val="306"/>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7º, parágrafo único</w:t>
      </w:r>
      <w:r>
        <w:rPr>
          <w:rStyle w:val="326"/>
          <w:rFonts w:hint="default" w:ascii="Arial" w:hAnsi="Arial" w:cs="Arial"/>
          <w:sz w:val="18"/>
          <w:szCs w:val="18"/>
        </w:rPr>
        <w:fldChar w:fldCharType="end"/>
      </w:r>
      <w:r>
        <w:rPr>
          <w:rFonts w:hint="default" w:ascii="Arial" w:hAnsi="Arial" w:cs="Arial"/>
          <w:sz w:val="18"/>
          <w:szCs w:val="18"/>
        </w:rPr>
        <w:t>).</w:t>
      </w:r>
    </w:p>
    <w:p w14:paraId="75818531">
      <w:pPr>
        <w:pStyle w:val="305"/>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0235EC49">
      <w:pPr>
        <w:pStyle w:val="306"/>
        <w:numPr>
          <w:ilvl w:val="0"/>
          <w:numId w:val="0"/>
        </w:numPr>
        <w:spacing w:before="0" w:after="0" w:line="360" w:lineRule="auto"/>
        <w:ind w:leftChars="0"/>
        <w:rPr>
          <w:rFonts w:hint="default" w:ascii="Arial" w:hAnsi="Arial" w:cs="Arial"/>
          <w:i/>
          <w:iCs/>
          <w:sz w:val="18"/>
          <w:szCs w:val="18"/>
        </w:rPr>
      </w:pPr>
      <w:bookmarkStart w:id="22" w:name="_Ref114663151"/>
      <w:bookmarkEnd w:id="22"/>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6"/>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w:t>
      </w:r>
      <w:r>
        <w:rPr>
          <w:rFonts w:hint="default" w:ascii="Arial" w:hAnsi="Arial" w:cs="Arial"/>
          <w:i w:val="0"/>
          <w:iCs w:val="0"/>
          <w:sz w:val="18"/>
          <w:szCs w:val="18"/>
        </w:rPr>
        <w:t xml:space="preserve">encaminharão, por meio do sistema, simultaneamente os documentos de habilitação e a proposta com o preço ou o percentual de desconto, observado o disposto no </w:t>
      </w:r>
      <w:r>
        <w:rPr>
          <w:rFonts w:hint="default" w:ascii="Arial" w:hAnsi="Arial" w:cs="Arial"/>
          <w:i w:val="0"/>
          <w:iCs w:val="0"/>
          <w:sz w:val="18"/>
          <w:szCs w:val="18"/>
        </w:rPr>
        <w:fldChar w:fldCharType="begin"/>
      </w:r>
      <w:r>
        <w:rPr>
          <w:rFonts w:hint="default" w:ascii="Arial" w:hAnsi="Arial" w:cs="Arial"/>
          <w:i w:val="0"/>
          <w:iCs w:val="0"/>
          <w:sz w:val="18"/>
          <w:szCs w:val="18"/>
        </w:rPr>
        <w:instrText xml:space="preserve"> HYPERLINK "https://www.gov.br/compras/pt-br/acesso-a-informacao/legislacao/instrucoes-normativas/instrucao-normativa-seges-me-no-73-de-30-de-setembro-de-2022" </w:instrText>
      </w:r>
      <w:r>
        <w:rPr>
          <w:rFonts w:hint="default" w:ascii="Arial" w:hAnsi="Arial" w:cs="Arial"/>
          <w:i w:val="0"/>
          <w:iCs w:val="0"/>
          <w:sz w:val="18"/>
          <w:szCs w:val="18"/>
        </w:rPr>
        <w:fldChar w:fldCharType="separate"/>
      </w:r>
      <w:r>
        <w:rPr>
          <w:rStyle w:val="326"/>
          <w:rFonts w:hint="default" w:ascii="Arial" w:hAnsi="Arial" w:cs="Arial"/>
          <w:i w:val="0"/>
          <w:iCs w:val="0"/>
          <w:sz w:val="18"/>
          <w:szCs w:val="18"/>
        </w:rPr>
        <w:t>§ 1º do art. 36 e no § 1º do art. 39 da Instrução Normativa SEGES nº 73, de 30 de setembro de 2022.</w:t>
      </w:r>
      <w:r>
        <w:rPr>
          <w:rStyle w:val="326"/>
          <w:rFonts w:hint="default" w:ascii="Arial" w:hAnsi="Arial" w:cs="Arial"/>
          <w:i w:val="0"/>
          <w:iCs w:val="0"/>
          <w:sz w:val="18"/>
          <w:szCs w:val="18"/>
        </w:rPr>
        <w:fldChar w:fldCharType="end"/>
      </w:r>
    </w:p>
    <w:p w14:paraId="621F3228">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5"/>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6"/>
          <w:rFonts w:hint="default" w:ascii="Arial" w:hAnsi="Arial" w:cs="Arial"/>
          <w:b/>
          <w:bCs/>
          <w:sz w:val="18"/>
          <w:szCs w:val="18"/>
        </w:rPr>
        <w:t>Lei 14.133/21, art. 64</w:t>
      </w:r>
      <w:r>
        <w:rPr>
          <w:rStyle w:val="326"/>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6"/>
          <w:rFonts w:hint="default" w:ascii="Arial" w:hAnsi="Arial" w:cs="Arial"/>
          <w:b/>
          <w:bCs/>
          <w:sz w:val="18"/>
          <w:szCs w:val="18"/>
        </w:rPr>
        <w:t>IN 73/2022, art. 39, §4º</w:t>
      </w:r>
      <w:r>
        <w:rPr>
          <w:rStyle w:val="326"/>
          <w:rFonts w:hint="default" w:ascii="Arial" w:hAnsi="Arial" w:cs="Arial"/>
          <w:b/>
          <w:bCs/>
          <w:sz w:val="18"/>
          <w:szCs w:val="18"/>
        </w:rPr>
        <w:fldChar w:fldCharType="end"/>
      </w:r>
      <w:r>
        <w:rPr>
          <w:rFonts w:hint="default" w:ascii="Arial" w:hAnsi="Arial" w:cs="Arial"/>
          <w:b/>
          <w:bCs/>
          <w:sz w:val="18"/>
          <w:szCs w:val="18"/>
        </w:rPr>
        <w:t>):</w:t>
      </w:r>
    </w:p>
    <w:p w14:paraId="35207439">
      <w:pPr>
        <w:pStyle w:val="306"/>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6"/>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5"/>
        <w:numPr>
          <w:ilvl w:val="0"/>
          <w:numId w:val="0"/>
        </w:numPr>
        <w:tabs>
          <w:tab w:val="left" w:pos="993"/>
        </w:tabs>
        <w:spacing w:before="0" w:after="0" w:line="360" w:lineRule="auto"/>
        <w:ind w:leftChars="0"/>
        <w:rPr>
          <w:rFonts w:hint="default" w:ascii="Arial" w:hAnsi="Arial" w:cs="Arial"/>
          <w:sz w:val="18"/>
          <w:szCs w:val="18"/>
        </w:rPr>
      </w:pPr>
      <w:bookmarkStart w:id="23" w:name="_Ref114670319"/>
      <w:bookmarkEnd w:id="23"/>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804B9D2">
      <w:pPr>
        <w:pStyle w:val="305"/>
        <w:numPr>
          <w:ilvl w:val="0"/>
          <w:numId w:val="0"/>
        </w:numPr>
        <w:tabs>
          <w:tab w:val="left" w:pos="993"/>
        </w:tabs>
        <w:spacing w:before="0" w:after="0" w:line="360" w:lineRule="auto"/>
        <w:ind w:leftChars="0"/>
        <w:rPr>
          <w:rFonts w:ascii="Arial" w:hAnsi="Arial" w:cs="Arial"/>
          <w:bCs/>
          <w:sz w:val="18"/>
          <w:szCs w:val="18"/>
        </w:rPr>
      </w:pPr>
      <w:bookmarkStart w:id="24" w:name="_Ref114665528"/>
      <w:bookmarkEnd w:id="24"/>
      <w:r>
        <w:rPr>
          <w:rFonts w:hint="default" w:cs="Arial"/>
          <w:bCs/>
          <w:sz w:val="18"/>
          <w:szCs w:val="18"/>
          <w:lang w:val="pt-BR"/>
        </w:rPr>
        <w:t xml:space="preserve">8.19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11DEEB9">
      <w:pPr>
        <w:pStyle w:val="305"/>
        <w:numPr>
          <w:ilvl w:val="0"/>
          <w:numId w:val="0"/>
        </w:numPr>
        <w:tabs>
          <w:tab w:val="left" w:pos="993"/>
        </w:tabs>
        <w:spacing w:before="0" w:after="0" w:line="360" w:lineRule="auto"/>
        <w:ind w:leftChars="0"/>
        <w:rPr>
          <w:rFonts w:hint="default" w:ascii="Arial" w:hAnsi="Arial" w:cs="Arial"/>
          <w:bCs/>
          <w:sz w:val="18"/>
          <w:szCs w:val="18"/>
        </w:rPr>
      </w:pPr>
      <w:r>
        <w:rPr>
          <w:rFonts w:hint="default" w:cs="Arial"/>
          <w:bCs/>
          <w:sz w:val="18"/>
          <w:szCs w:val="18"/>
          <w:lang w:val="pt-BR"/>
        </w:rPr>
        <w:t>8.20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4C500BA2">
      <w:pPr>
        <w:pStyle w:val="305"/>
        <w:numPr>
          <w:ilvl w:val="0"/>
          <w:numId w:val="0"/>
        </w:numPr>
        <w:tabs>
          <w:tab w:val="left" w:pos="993"/>
        </w:tabs>
        <w:spacing w:before="0" w:after="0" w:line="360" w:lineRule="auto"/>
        <w:ind w:leftChars="0"/>
        <w:rPr>
          <w:rFonts w:hint="default" w:ascii="Arial" w:hAnsi="Arial" w:cs="Arial" w:eastAsiaTheme="minorHAnsi"/>
          <w:bCs/>
          <w:sz w:val="18"/>
          <w:szCs w:val="18"/>
          <w:lang w:val="pt-BR"/>
        </w:rPr>
      </w:pPr>
      <w:r>
        <w:rPr>
          <w:rFonts w:hint="default" w:cs="Arial"/>
          <w:bCs/>
          <w:sz w:val="18"/>
          <w:szCs w:val="18"/>
          <w:lang w:val="pt-BR"/>
        </w:rPr>
        <w:t xml:space="preserve">8.21 </w:t>
      </w:r>
      <w:r>
        <w:rPr>
          <w:rFonts w:ascii="Arial" w:hAnsi="Arial" w:cs="Arial"/>
          <w:bCs/>
          <w:sz w:val="18"/>
          <w:szCs w:val="18"/>
        </w:rPr>
        <w:t>Os documentos não poderão ser substituídos por qualquer tipo de protocolo.</w:t>
      </w:r>
    </w:p>
    <w:p w14:paraId="4BD183ED">
      <w:pPr>
        <w:pStyle w:val="305"/>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8.</w:t>
      </w:r>
      <w:r>
        <w:rPr>
          <w:rFonts w:hint="default" w:cs="Arial"/>
          <w:sz w:val="18"/>
          <w:szCs w:val="18"/>
          <w:lang w:val="pt-BR"/>
        </w:rPr>
        <w:t>22</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1629F2E0">
      <w:pPr>
        <w:pStyle w:val="305"/>
        <w:numPr>
          <w:ilvl w:val="0"/>
          <w:numId w:val="0"/>
        </w:numPr>
        <w:tabs>
          <w:tab w:val="left" w:pos="993"/>
        </w:tabs>
        <w:spacing w:before="0" w:after="0" w:line="360" w:lineRule="auto"/>
        <w:ind w:leftChars="0"/>
        <w:rPr>
          <w:rFonts w:hint="default" w:ascii="Arial" w:hAnsi="Arial" w:cs="Arial"/>
          <w:i/>
          <w:sz w:val="18"/>
          <w:szCs w:val="18"/>
        </w:rPr>
      </w:pPr>
      <w:bookmarkStart w:id="25" w:name="_Ref114665515"/>
      <w:bookmarkEnd w:id="25"/>
      <w:r>
        <w:rPr>
          <w:rFonts w:hint="default" w:ascii="Arial" w:hAnsi="Arial" w:cs="Arial"/>
          <w:sz w:val="18"/>
          <w:szCs w:val="18"/>
          <w:lang w:val="pt-BR"/>
        </w:rPr>
        <w:t>8.2</w:t>
      </w:r>
      <w:r>
        <w:rPr>
          <w:rFonts w:hint="default" w:cs="Arial"/>
          <w:sz w:val="18"/>
          <w:szCs w:val="18"/>
          <w:lang w:val="pt-BR"/>
        </w:rPr>
        <w:t>3</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277BCF30">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8.2</w:t>
      </w:r>
      <w:r>
        <w:rPr>
          <w:rFonts w:hint="default" w:cs="Arial"/>
          <w:sz w:val="18"/>
          <w:szCs w:val="18"/>
          <w:lang w:val="pt-BR"/>
        </w:rPr>
        <w:t>4</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art. 4º do Decreto nº 8.538/2015</w:t>
      </w:r>
      <w:r>
        <w:rPr>
          <w:rStyle w:val="326"/>
          <w:rFonts w:hint="default" w:ascii="Arial" w:hAnsi="Arial" w:cs="Arial"/>
          <w:sz w:val="18"/>
          <w:szCs w:val="18"/>
        </w:rPr>
        <w:fldChar w:fldCharType="end"/>
      </w:r>
      <w:r>
        <w:rPr>
          <w:rFonts w:hint="default" w:ascii="Arial" w:hAnsi="Arial" w:cs="Arial"/>
          <w:sz w:val="18"/>
          <w:szCs w:val="18"/>
        </w:rPr>
        <w:t>).</w:t>
      </w:r>
    </w:p>
    <w:p w14:paraId="553D1585">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8.2</w:t>
      </w:r>
      <w:r>
        <w:rPr>
          <w:rFonts w:hint="default" w:cs="Arial"/>
          <w:sz w:val="18"/>
          <w:szCs w:val="18"/>
          <w:lang w:val="pt-BR"/>
        </w:rPr>
        <w:t>5</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0325AE6">
      <w:pPr>
        <w:pStyle w:val="305"/>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w:t>
      </w:r>
      <w:r>
        <w:rPr>
          <w:rFonts w:hint="default" w:cs="Arial"/>
          <w:sz w:val="18"/>
          <w:szCs w:val="18"/>
          <w:u w:val="single"/>
          <w:lang w:val="pt-BR"/>
        </w:rPr>
        <w:t>6</w:t>
      </w:r>
      <w:r>
        <w:rPr>
          <w:rFonts w:hint="default" w:ascii="Arial" w:hAnsi="Arial" w:cs="Arial"/>
          <w:sz w:val="18"/>
          <w:szCs w:val="18"/>
          <w:u w:val="single"/>
          <w:lang w:val="pt-BR"/>
        </w:rPr>
        <w:t xml:space="preserve"> Na hipótese de desclassificação de todas as propostas, o Pregoeiro poderá fixar às licitantes, respeitando a ordem de classificação, o prazo de 8 (oito) dias úteis para apresentação de documentos exigidos, corrigido das causas de sua desclassificação.</w:t>
      </w:r>
    </w:p>
    <w:p w14:paraId="75758688">
      <w:pPr>
        <w:pStyle w:val="305"/>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80"/>
        <w:widowControl w:val="0"/>
        <w:numPr>
          <w:ilvl w:val="0"/>
          <w:numId w:val="11"/>
        </w:numPr>
        <w:tabs>
          <w:tab w:val="clear" w:pos="567"/>
        </w:tabs>
        <w:autoSpaceDN w:val="0"/>
        <w:spacing w:before="0" w:line="360" w:lineRule="auto"/>
        <w:ind w:left="426" w:hanging="426"/>
        <w:rPr>
          <w:rFonts w:hint="default" w:ascii="Arial" w:hAnsi="Arial" w:cs="Arial"/>
          <w:sz w:val="18"/>
          <w:szCs w:val="18"/>
        </w:rPr>
      </w:pPr>
      <w:bookmarkStart w:id="26" w:name="_Toc122606110"/>
      <w:bookmarkEnd w:id="26"/>
      <w:r>
        <w:rPr>
          <w:rFonts w:hint="default" w:ascii="Arial" w:hAnsi="Arial" w:cs="Arial"/>
          <w:sz w:val="18"/>
          <w:szCs w:val="18"/>
        </w:rPr>
        <w:t>DOS RECURSOS</w:t>
      </w:r>
    </w:p>
    <w:p w14:paraId="5067ECE4">
      <w:pPr>
        <w:pStyle w:val="305"/>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6"/>
          <w:rFonts w:hint="default" w:ascii="Arial" w:hAnsi="Arial" w:cs="Arial"/>
          <w:sz w:val="18"/>
          <w:szCs w:val="18"/>
        </w:rPr>
        <w:t>art. 165 da Lei nº 14.133, de 2021</w:t>
      </w:r>
      <w:r>
        <w:rPr>
          <w:rStyle w:val="326"/>
          <w:rFonts w:hint="default" w:ascii="Arial" w:hAnsi="Arial" w:cs="Arial"/>
          <w:sz w:val="18"/>
          <w:szCs w:val="18"/>
        </w:rPr>
        <w:fldChar w:fldCharType="end"/>
      </w:r>
      <w:r>
        <w:rPr>
          <w:rFonts w:hint="default" w:ascii="Arial" w:hAnsi="Arial" w:cs="Arial"/>
          <w:sz w:val="18"/>
          <w:szCs w:val="18"/>
        </w:rPr>
        <w:t>.</w:t>
      </w:r>
    </w:p>
    <w:p w14:paraId="4070C5EE">
      <w:pPr>
        <w:pStyle w:val="305"/>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5"/>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6"/>
        <w:numPr>
          <w:ilvl w:val="2"/>
          <w:numId w:val="12"/>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6"/>
        <w:numPr>
          <w:ilvl w:val="3"/>
          <w:numId w:val="13"/>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3"/>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6"/>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6"/>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6"/>
          <w:rFonts w:hint="default" w:ascii="Arial" w:hAnsi="Arial" w:cs="Arial"/>
          <w:sz w:val="18"/>
          <w:szCs w:val="18"/>
        </w:rPr>
        <w:t>§ 1º do art. 17 da Lei nº 14.133, de 2021</w:t>
      </w:r>
      <w:r>
        <w:rPr>
          <w:rStyle w:val="326"/>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5"/>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5"/>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3"/>
          <w:rFonts w:hint="default" w:ascii="Arial" w:hAnsi="Arial" w:cs="Arial"/>
          <w:sz w:val="18"/>
          <w:szCs w:val="18"/>
        </w:rPr>
        <w:t>www.cataguases.mg.gov.br</w:t>
      </w:r>
      <w:r>
        <w:rPr>
          <w:rStyle w:val="13"/>
          <w:rFonts w:hint="default" w:ascii="Arial" w:hAnsi="Arial" w:cs="Arial"/>
          <w:sz w:val="18"/>
          <w:szCs w:val="18"/>
        </w:rPr>
        <w:fldChar w:fldCharType="end"/>
      </w:r>
      <w:r>
        <w:rPr>
          <w:rFonts w:hint="default" w:ascii="Arial" w:hAnsi="Arial" w:cs="Arial"/>
          <w:sz w:val="18"/>
          <w:szCs w:val="18"/>
        </w:rPr>
        <w:t>.</w:t>
      </w:r>
    </w:p>
    <w:p w14:paraId="7C84D15E">
      <w:pPr>
        <w:pStyle w:val="305"/>
        <w:tabs>
          <w:tab w:val="left" w:pos="993"/>
        </w:tabs>
        <w:spacing w:before="0" w:after="0" w:line="360" w:lineRule="auto"/>
        <w:rPr>
          <w:rFonts w:hint="default" w:ascii="Arial" w:hAnsi="Arial" w:cs="Arial"/>
          <w:sz w:val="18"/>
          <w:szCs w:val="18"/>
        </w:rPr>
      </w:pPr>
    </w:p>
    <w:p w14:paraId="7E5DE3FF">
      <w:pPr>
        <w:pStyle w:val="280"/>
        <w:numPr>
          <w:ilvl w:val="0"/>
          <w:numId w:val="12"/>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80"/>
        <w:numPr>
          <w:ilvl w:val="1"/>
          <w:numId w:val="14"/>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0A4DC172">
      <w:pPr>
        <w:tabs>
          <w:tab w:val="left" w:pos="567"/>
        </w:tabs>
        <w:jc w:val="both"/>
        <w:rPr>
          <w:rFonts w:hint="default" w:ascii="Arial" w:hAnsi="Arial" w:cs="Arial"/>
          <w:sz w:val="18"/>
          <w:szCs w:val="18"/>
        </w:rPr>
      </w:pPr>
    </w:p>
    <w:p w14:paraId="6CCD9262">
      <w:pPr>
        <w:pStyle w:val="222"/>
        <w:numPr>
          <w:ilvl w:val="0"/>
          <w:numId w:val="15"/>
        </w:numPr>
        <w:tabs>
          <w:tab w:val="left" w:pos="567"/>
        </w:tabs>
        <w:spacing w:line="360" w:lineRule="auto"/>
        <w:ind w:left="0" w:firstLine="0"/>
        <w:rPr>
          <w:rFonts w:hint="default" w:ascii="Arial" w:hAnsi="Arial" w:cs="Arial"/>
          <w:b/>
          <w:sz w:val="18"/>
          <w:szCs w:val="18"/>
        </w:rPr>
      </w:pPr>
      <w:r>
        <w:rPr>
          <w:rFonts w:hint="default" w:ascii="Arial" w:hAnsi="Arial" w:cs="Arial"/>
          <w:b/>
          <w:sz w:val="18"/>
          <w:szCs w:val="18"/>
        </w:rPr>
        <w:t>DA ATA DE REGISTRO DE PREÇOS</w:t>
      </w:r>
    </w:p>
    <w:p w14:paraId="0692BC77">
      <w:pPr>
        <w:pStyle w:val="222"/>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47D69FFF">
      <w:pPr>
        <w:pStyle w:val="222"/>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0666B065">
      <w:pPr>
        <w:pStyle w:val="305"/>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47451495">
      <w:pPr>
        <w:pStyle w:val="305"/>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1C0E39F3">
      <w:pPr>
        <w:pStyle w:val="305"/>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0897A6DD">
      <w:pPr>
        <w:pStyle w:val="305"/>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274AD96">
      <w:pPr>
        <w:pStyle w:val="305"/>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338F428A">
      <w:pPr>
        <w:pStyle w:val="305"/>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4ACFC2A">
      <w:pPr>
        <w:pStyle w:val="305"/>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7661A76">
      <w:pPr>
        <w:pStyle w:val="305"/>
        <w:tabs>
          <w:tab w:val="left" w:pos="0"/>
        </w:tabs>
        <w:suppressAutoHyphens w:val="0"/>
        <w:spacing w:before="0" w:after="0" w:line="240" w:lineRule="auto"/>
        <w:rPr>
          <w:rFonts w:hint="default" w:ascii="Arial" w:hAnsi="Arial" w:cs="Arial"/>
          <w:sz w:val="18"/>
          <w:szCs w:val="18"/>
        </w:rPr>
      </w:pPr>
    </w:p>
    <w:p w14:paraId="3E0EFF75">
      <w:pPr>
        <w:pStyle w:val="280"/>
        <w:widowControl w:val="0"/>
        <w:numPr>
          <w:ilvl w:val="0"/>
          <w:numId w:val="15"/>
        </w:numPr>
        <w:tabs>
          <w:tab w:val="left" w:pos="0"/>
          <w:tab w:val="clear" w:pos="567"/>
        </w:tabs>
        <w:suppressAutoHyphens w:val="0"/>
        <w:spacing w:before="0" w:line="360" w:lineRule="auto"/>
        <w:ind w:left="0" w:firstLine="0"/>
        <w:rPr>
          <w:rFonts w:hint="default" w:ascii="Arial" w:hAnsi="Arial" w:cs="Arial"/>
          <w:sz w:val="18"/>
          <w:szCs w:val="18"/>
        </w:rPr>
      </w:pPr>
      <w:r>
        <w:rPr>
          <w:rFonts w:hint="default" w:ascii="Arial" w:hAnsi="Arial" w:cs="Arial"/>
          <w:sz w:val="18"/>
          <w:szCs w:val="18"/>
        </w:rPr>
        <w:t xml:space="preserve">DA FORMAÇÃO DO CADASTRO DE RESERVA </w:t>
      </w:r>
    </w:p>
    <w:p w14:paraId="528CA83B">
      <w:pPr>
        <w:pStyle w:val="280"/>
        <w:widowControl w:val="0"/>
        <w:numPr>
          <w:ilvl w:val="1"/>
          <w:numId w:val="15"/>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7D8ACDE4">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BBB4BD5">
      <w:pPr>
        <w:pStyle w:val="306"/>
        <w:numPr>
          <w:ilvl w:val="2"/>
          <w:numId w:val="15"/>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04CC3E21">
      <w:pPr>
        <w:pStyle w:val="305"/>
        <w:numPr>
          <w:ilvl w:val="1"/>
          <w:numId w:val="15"/>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59CA1AE4">
      <w:pPr>
        <w:pStyle w:val="306"/>
        <w:numPr>
          <w:ilvl w:val="1"/>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062C16D0">
      <w:pPr>
        <w:pStyle w:val="306"/>
        <w:numPr>
          <w:ilvl w:val="2"/>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31A61F6">
      <w:pPr>
        <w:pStyle w:val="305"/>
        <w:numPr>
          <w:ilvl w:val="1"/>
          <w:numId w:val="15"/>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0F9F6608">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479C9EB6">
      <w:pPr>
        <w:pStyle w:val="306"/>
        <w:numPr>
          <w:ilvl w:val="2"/>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5BB4C9DD">
      <w:pPr>
        <w:pStyle w:val="305"/>
        <w:numPr>
          <w:ilvl w:val="1"/>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9FE3A3F">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5C7D0A41">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2379948E">
      <w:pPr>
        <w:pStyle w:val="306"/>
        <w:tabs>
          <w:tab w:val="left" w:pos="0"/>
        </w:tabs>
        <w:suppressAutoHyphens w:val="0"/>
        <w:spacing w:before="0" w:after="0" w:line="240" w:lineRule="auto"/>
        <w:ind w:left="0"/>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 xml:space="preserve">14.1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358E10FE">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 As obrigações da Contratante e da Contratada são as estabelecidas no Termo de Referência/Projeto Básico.</w:t>
      </w:r>
    </w:p>
    <w:p w14:paraId="28208C42">
      <w:pPr>
        <w:autoSpaceDE w:val="0"/>
        <w:autoSpaceDN w:val="0"/>
        <w:adjustRightInd w:val="0"/>
        <w:spacing w:line="360" w:lineRule="auto"/>
        <w:jc w:val="both"/>
        <w:rPr>
          <w:rFonts w:hint="default" w:ascii="Arial" w:hAnsi="Arial" w:cs="Arial"/>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b w:val="0"/>
          <w:bCs w:val="0"/>
          <w:sz w:val="18"/>
          <w:szCs w:val="18"/>
        </w:rPr>
      </w:pPr>
      <w:r>
        <w:rPr>
          <w:rFonts w:hint="default" w:ascii="Arial" w:hAnsi="Arial" w:cs="Arial"/>
          <w:sz w:val="18"/>
          <w:szCs w:val="18"/>
        </w:rPr>
        <w:t>16.4 A dotação o</w:t>
      </w:r>
      <w:r>
        <w:rPr>
          <w:rFonts w:hint="default" w:ascii="Arial" w:hAnsi="Arial" w:cs="Arial"/>
          <w:b w:val="0"/>
          <w:bCs w:val="0"/>
          <w:sz w:val="18"/>
          <w:szCs w:val="18"/>
        </w:rPr>
        <w:t xml:space="preserve">rçamentária destinada ao pagamento do objeto licitado será prevista e indicada </w:t>
      </w:r>
      <w:r>
        <w:rPr>
          <w:rFonts w:hint="default" w:ascii="Arial" w:hAnsi="Arial" w:cs="Arial"/>
          <w:b w:val="0"/>
          <w:bCs w:val="0"/>
          <w:sz w:val="18"/>
          <w:szCs w:val="18"/>
          <w:lang w:val="pt-BR"/>
        </w:rPr>
        <w:t>na autorização de fornecimento ou nota de empenho emitida</w:t>
      </w:r>
      <w:r>
        <w:rPr>
          <w:rFonts w:hint="default" w:ascii="Arial" w:hAnsi="Arial" w:cs="Arial"/>
          <w:b w:val="0"/>
          <w:bCs w:val="0"/>
          <w:sz w:val="18"/>
          <w:szCs w:val="18"/>
        </w:rPr>
        <w:t xml:space="preserve"> pela área competente da Prefeitura Municipal de Cataguases, sendo:</w:t>
      </w:r>
    </w:p>
    <w:p w14:paraId="5D0145EA">
      <w:pPr>
        <w:spacing w:line="360" w:lineRule="auto"/>
        <w:jc w:val="both"/>
        <w:rPr>
          <w:rFonts w:hint="default" w:ascii="Arial" w:hAnsi="Arial" w:cs="Arial"/>
          <w:b w:val="0"/>
          <w:bCs w:val="0"/>
          <w:sz w:val="18"/>
          <w:szCs w:val="18"/>
        </w:rPr>
      </w:pPr>
      <w:r>
        <w:rPr>
          <w:rFonts w:hint="default" w:ascii="Arial" w:hAnsi="Arial" w:cs="Arial"/>
          <w:b w:val="0"/>
          <w:bCs w:val="0"/>
          <w:sz w:val="18"/>
          <w:szCs w:val="18"/>
        </w:rPr>
        <w:t xml:space="preserve">02.008 – Secretaria de Saúde </w:t>
      </w:r>
    </w:p>
    <w:p w14:paraId="29BA50D1">
      <w:pPr>
        <w:spacing w:line="360" w:lineRule="auto"/>
        <w:jc w:val="both"/>
        <w:rPr>
          <w:rFonts w:hint="default" w:ascii="Arial" w:hAnsi="Arial" w:cs="Arial"/>
          <w:b w:val="0"/>
          <w:bCs w:val="0"/>
          <w:sz w:val="18"/>
          <w:szCs w:val="18"/>
        </w:rPr>
      </w:pPr>
      <w:r>
        <w:rPr>
          <w:rFonts w:hint="default" w:ascii="Arial" w:hAnsi="Arial" w:cs="Arial"/>
          <w:b w:val="0"/>
          <w:bCs w:val="0"/>
          <w:sz w:val="18"/>
          <w:szCs w:val="18"/>
        </w:rPr>
        <w:t xml:space="preserve">10.122 - 0.008 – Cumprimento de Sentenças Judiciais na Área da Saúde. </w:t>
      </w:r>
    </w:p>
    <w:p w14:paraId="2E00B770">
      <w:pPr>
        <w:spacing w:line="360" w:lineRule="auto"/>
        <w:jc w:val="both"/>
        <w:rPr>
          <w:rFonts w:hint="default" w:ascii="Arial" w:hAnsi="Arial" w:cs="Arial"/>
          <w:b w:val="0"/>
          <w:bCs w:val="0"/>
          <w:sz w:val="18"/>
          <w:szCs w:val="18"/>
        </w:rPr>
      </w:pPr>
      <w:r>
        <w:rPr>
          <w:rFonts w:hint="default" w:ascii="Arial" w:hAnsi="Arial" w:cs="Arial"/>
          <w:b w:val="0"/>
          <w:bCs w:val="0"/>
          <w:sz w:val="18"/>
          <w:szCs w:val="18"/>
        </w:rPr>
        <w:t>3.3.90.91.00.00.00.00 - 1.500 – Sentenças Judiciais (Ficha 330)</w:t>
      </w:r>
    </w:p>
    <w:p w14:paraId="24E0102C">
      <w:pPr>
        <w:spacing w:line="360" w:lineRule="auto"/>
        <w:jc w:val="both"/>
        <w:rPr>
          <w:rFonts w:hint="default" w:ascii="Arial" w:hAnsi="Arial" w:cs="Arial"/>
          <w:b w:val="0"/>
          <w:bCs w:val="0"/>
          <w:sz w:val="18"/>
          <w:szCs w:val="18"/>
        </w:rPr>
      </w:pPr>
      <w:r>
        <w:rPr>
          <w:rFonts w:hint="default" w:ascii="Arial" w:hAnsi="Arial" w:cs="Arial"/>
          <w:b w:val="0"/>
          <w:bCs w:val="0"/>
          <w:sz w:val="18"/>
          <w:szCs w:val="18"/>
        </w:rPr>
        <w:t xml:space="preserve">02.009 – Fundo Municipal de Saúde </w:t>
      </w:r>
    </w:p>
    <w:p w14:paraId="7547F109">
      <w:pPr>
        <w:spacing w:line="360" w:lineRule="auto"/>
        <w:jc w:val="both"/>
        <w:rPr>
          <w:rFonts w:hint="default" w:ascii="Arial" w:hAnsi="Arial" w:cs="Arial"/>
          <w:b w:val="0"/>
          <w:bCs w:val="0"/>
          <w:sz w:val="18"/>
          <w:szCs w:val="18"/>
        </w:rPr>
      </w:pPr>
      <w:r>
        <w:rPr>
          <w:rFonts w:hint="default" w:ascii="Arial" w:hAnsi="Arial" w:cs="Arial"/>
          <w:b w:val="0"/>
          <w:bCs w:val="0"/>
          <w:sz w:val="18"/>
          <w:szCs w:val="18"/>
        </w:rPr>
        <w:t>10.301 - 2.083–Manutenção e Coordenação das Atividades da Atenção Básica</w:t>
      </w:r>
    </w:p>
    <w:p w14:paraId="64E6AF62">
      <w:pPr>
        <w:spacing w:line="360" w:lineRule="auto"/>
        <w:jc w:val="both"/>
        <w:rPr>
          <w:rFonts w:hint="default" w:ascii="Arial" w:hAnsi="Arial" w:cs="Arial"/>
          <w:b w:val="0"/>
          <w:bCs w:val="0"/>
          <w:sz w:val="18"/>
          <w:szCs w:val="18"/>
        </w:rPr>
      </w:pPr>
      <w:r>
        <w:rPr>
          <w:rFonts w:hint="default" w:ascii="Arial" w:hAnsi="Arial" w:cs="Arial"/>
          <w:b w:val="0"/>
          <w:bCs w:val="0"/>
          <w:sz w:val="18"/>
          <w:szCs w:val="18"/>
        </w:rPr>
        <w:t>3.3.90.30.00.00.00.00 - 1.600 – Material de Consumo (Ficha 388)</w:t>
      </w:r>
    </w:p>
    <w:p w14:paraId="1A0610FA">
      <w:pPr>
        <w:spacing w:line="360" w:lineRule="auto"/>
        <w:jc w:val="both"/>
        <w:rPr>
          <w:rFonts w:hint="default" w:ascii="Arial" w:hAnsi="Arial" w:cs="Arial"/>
          <w:b w:val="0"/>
          <w:bCs w:val="0"/>
          <w:sz w:val="18"/>
          <w:szCs w:val="18"/>
        </w:rPr>
      </w:pPr>
      <w:r>
        <w:rPr>
          <w:rFonts w:hint="default" w:ascii="Arial" w:hAnsi="Arial" w:cs="Arial"/>
          <w:b w:val="0"/>
          <w:bCs w:val="0"/>
          <w:sz w:val="18"/>
          <w:szCs w:val="18"/>
        </w:rPr>
        <w:t xml:space="preserve">10.302 - 2.084– Manutenção e Coordenação das Atividades da Média e Alta  Complexidade Ambulatorial </w:t>
      </w:r>
    </w:p>
    <w:p w14:paraId="2A7F9174">
      <w:pPr>
        <w:spacing w:line="360" w:lineRule="auto"/>
        <w:jc w:val="both"/>
        <w:rPr>
          <w:rFonts w:hint="default" w:ascii="Arial" w:hAnsi="Arial" w:cs="Arial"/>
          <w:b w:val="0"/>
          <w:bCs w:val="0"/>
          <w:sz w:val="18"/>
          <w:szCs w:val="18"/>
        </w:rPr>
      </w:pPr>
      <w:r>
        <w:rPr>
          <w:rFonts w:hint="default" w:ascii="Arial" w:hAnsi="Arial" w:cs="Arial"/>
          <w:b w:val="0"/>
          <w:bCs w:val="0"/>
          <w:sz w:val="18"/>
          <w:szCs w:val="18"/>
        </w:rPr>
        <w:t>3.3.90.30.00.00.00.00 - 1.600 – Material de Consumo (Ficha 412)</w:t>
      </w:r>
    </w:p>
    <w:p w14:paraId="3877E167">
      <w:pPr>
        <w:pStyle w:val="222"/>
        <w:tabs>
          <w:tab w:val="left" w:pos="851"/>
          <w:tab w:val="left" w:pos="993"/>
        </w:tabs>
        <w:spacing w:line="360" w:lineRule="auto"/>
        <w:ind w:left="0"/>
        <w:jc w:val="both"/>
        <w:rPr>
          <w:rFonts w:hint="default" w:ascii="Arial" w:hAnsi="Arial" w:cs="Arial"/>
          <w:sz w:val="18"/>
          <w:szCs w:val="18"/>
        </w:rPr>
      </w:pPr>
      <w:r>
        <w:rPr>
          <w:rFonts w:hint="default" w:ascii="Arial" w:hAnsi="Arial" w:cs="Arial"/>
          <w:b w:val="0"/>
          <w:bCs w:val="0"/>
          <w:sz w:val="18"/>
          <w:szCs w:val="18"/>
        </w:rPr>
        <w:t>16.5 Quando for constatada qualquer irregularidade na Nota Fiscal/Fatura, será imediatamente solicitada à empresa adjudicatária carta de correção quando couber, ou ainda per</w:t>
      </w:r>
      <w:r>
        <w:rPr>
          <w:rFonts w:hint="default" w:ascii="Arial" w:hAnsi="Arial" w:cs="Arial"/>
          <w:sz w:val="18"/>
          <w:szCs w:val="18"/>
        </w:rPr>
        <w:t>tinente regularização, que deverá ser encaminhada no prazo de 2 (dois) dias úteis.</w:t>
      </w:r>
    </w:p>
    <w:p w14:paraId="6002A0DC">
      <w:pPr>
        <w:pStyle w:val="222"/>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8A9B40C">
      <w:pPr>
        <w:pStyle w:val="222"/>
        <w:tabs>
          <w:tab w:val="left" w:pos="851"/>
        </w:tabs>
        <w:spacing w:line="360" w:lineRule="auto"/>
        <w:ind w:left="0"/>
        <w:jc w:val="both"/>
        <w:rPr>
          <w:rFonts w:hint="default" w:ascii="Arial" w:hAnsi="Arial" w:cs="Arial"/>
          <w:color w:val="000000"/>
          <w:sz w:val="18"/>
          <w:szCs w:val="18"/>
          <w:highlight w:val="none"/>
        </w:rPr>
      </w:pPr>
      <w:r>
        <w:rPr>
          <w:rFonts w:hint="default" w:ascii="Arial" w:hAnsi="Arial" w:cs="Arial"/>
          <w:sz w:val="18"/>
          <w:szCs w:val="18"/>
          <w:highlight w:val="none"/>
        </w:rPr>
        <w:t>16.7 O valor estimado para contratação é d</w:t>
      </w:r>
      <w:r>
        <w:rPr>
          <w:rFonts w:hint="default" w:ascii="Arial" w:hAnsi="Arial" w:cs="Arial"/>
          <w:b w:val="0"/>
          <w:bCs w:val="0"/>
          <w:sz w:val="18"/>
          <w:szCs w:val="18"/>
          <w:highlight w:val="none"/>
        </w:rPr>
        <w:t>e</w:t>
      </w:r>
      <w:r>
        <w:rPr>
          <w:rFonts w:hint="default" w:ascii="Arial" w:hAnsi="Arial" w:eastAsia="Times New Roman" w:cs="Arial"/>
          <w:b w:val="0"/>
          <w:bCs w:val="0"/>
          <w:sz w:val="18"/>
          <w:szCs w:val="18"/>
          <w:highlight w:val="none"/>
        </w:rPr>
        <w:t xml:space="preserve"> </w:t>
      </w:r>
      <w:r>
        <w:rPr>
          <w:rFonts w:hint="default" w:ascii="Arial" w:hAnsi="Arial"/>
          <w:bCs/>
          <w:sz w:val="18"/>
          <w:szCs w:val="18"/>
        </w:rPr>
        <w:t>R$ 3.956,77 (</w:t>
      </w:r>
      <w:r>
        <w:rPr>
          <w:rFonts w:hint="default" w:ascii="Arial" w:hAnsi="Arial"/>
          <w:bCs/>
          <w:sz w:val="18"/>
          <w:szCs w:val="18"/>
          <w:lang w:val="pt-BR"/>
        </w:rPr>
        <w:t>t</w:t>
      </w:r>
      <w:r>
        <w:rPr>
          <w:rFonts w:hint="default" w:ascii="Arial" w:hAnsi="Arial"/>
          <w:bCs/>
          <w:sz w:val="18"/>
          <w:szCs w:val="18"/>
        </w:rPr>
        <w:t>rês mil, novecentos e cinquenta e seis reais e setenta e sete centavos)</w:t>
      </w:r>
      <w:r>
        <w:rPr>
          <w:rFonts w:hint="default" w:ascii="Arial" w:hAnsi="Arial" w:eastAsia="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sz w:val="18"/>
          <w:szCs w:val="18"/>
          <w:highlight w:val="none"/>
        </w:rPr>
        <w:t xml:space="preserve"> de acordo com o mapa analítico an</w:t>
      </w:r>
      <w:r>
        <w:rPr>
          <w:rFonts w:hint="default" w:ascii="Arial" w:hAnsi="Arial" w:cs="Arial"/>
          <w:sz w:val="18"/>
          <w:szCs w:val="18"/>
          <w:highlight w:val="none"/>
        </w:rPr>
        <w:t>exo.</w:t>
      </w:r>
    </w:p>
    <w:p w14:paraId="74BE0BA1">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4577E846">
      <w:pPr>
        <w:spacing w:line="360" w:lineRule="auto"/>
        <w:jc w:val="both"/>
        <w:rPr>
          <w:rFonts w:hint="default" w:ascii="Arial" w:hAnsi="Arial" w:cs="Arial"/>
          <w:sz w:val="18"/>
          <w:szCs w:val="18"/>
        </w:rPr>
      </w:pPr>
    </w:p>
    <w:p w14:paraId="1A704434">
      <w:pPr>
        <w:pStyle w:val="280"/>
        <w:numPr>
          <w:ilvl w:val="0"/>
          <w:numId w:val="0"/>
        </w:numPr>
        <w:tabs>
          <w:tab w:val="left" w:pos="284"/>
          <w:tab w:val="clear" w:pos="567"/>
        </w:tabs>
        <w:spacing w:before="0" w:line="360" w:lineRule="auto"/>
        <w:rPr>
          <w:rFonts w:hint="default" w:ascii="Arial" w:hAnsi="Arial" w:cs="Arial"/>
          <w:sz w:val="18"/>
          <w:szCs w:val="18"/>
        </w:rPr>
      </w:pPr>
      <w:bookmarkStart w:id="27" w:name="_Toc122606112"/>
      <w:r>
        <w:rPr>
          <w:rFonts w:hint="default" w:ascii="Arial" w:hAnsi="Arial" w:cs="Arial"/>
          <w:sz w:val="18"/>
          <w:szCs w:val="18"/>
        </w:rPr>
        <w:t>17. DAS INFRAÇÕES ADMINISTRATIVAS E SANÇÕES</w:t>
      </w:r>
    </w:p>
    <w:p w14:paraId="7457961B">
      <w:pPr>
        <w:pStyle w:val="306"/>
        <w:spacing w:before="0" w:after="0" w:line="360" w:lineRule="auto"/>
        <w:ind w:left="0"/>
        <w:rPr>
          <w:rFonts w:hint="default" w:ascii="Arial" w:hAnsi="Arial" w:cs="Arial"/>
          <w:color w:val="auto"/>
          <w:sz w:val="18"/>
          <w:szCs w:val="18"/>
          <w:shd w:val="clear" w:color="auto" w:fill="FFFFFF"/>
        </w:rPr>
      </w:pPr>
      <w:bookmarkStart w:id="28" w:name="_Ref114668085"/>
      <w:bookmarkStart w:id="29" w:name="_Hlk114652595"/>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5B7DD8C2">
      <w:pPr>
        <w:pStyle w:val="305"/>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3"/>
          <w:rFonts w:hint="default" w:ascii="Arial" w:hAnsi="Arial" w:cs="Arial"/>
          <w:color w:val="auto"/>
          <w:sz w:val="18"/>
          <w:szCs w:val="18"/>
        </w:rPr>
        <w:t>Lei nº 14.133, de 2021</w:t>
      </w:r>
      <w:r>
        <w:rPr>
          <w:rStyle w:val="13"/>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07895AAF">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0530697E">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3ECF067E">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231020BE">
      <w:pPr>
        <w:pStyle w:val="306"/>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6E8AC727">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3D4B5101">
      <w:pPr>
        <w:pStyle w:val="307"/>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6BFD8E73">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485E7527">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6EC51189">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646EA769">
      <w:pPr>
        <w:pStyle w:val="280"/>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6A7B65BC">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3"/>
          <w:rFonts w:hint="default" w:ascii="Arial" w:hAnsi="Arial" w:cs="Arial"/>
          <w:color w:val="auto"/>
          <w:sz w:val="18"/>
          <w:szCs w:val="18"/>
        </w:rPr>
        <w:t>inciso I do </w:t>
      </w:r>
      <w:r>
        <w:rPr>
          <w:rStyle w:val="13"/>
          <w:rFonts w:hint="default" w:ascii="Arial" w:hAnsi="Arial" w:cs="Arial"/>
          <w:bCs/>
          <w:color w:val="auto"/>
          <w:sz w:val="18"/>
          <w:szCs w:val="18"/>
        </w:rPr>
        <w:t>caput</w:t>
      </w:r>
      <w:r>
        <w:rPr>
          <w:rStyle w:val="13"/>
          <w:rFonts w:hint="default" w:ascii="Arial" w:hAnsi="Arial" w:cs="Arial"/>
          <w:color w:val="auto"/>
          <w:sz w:val="18"/>
          <w:szCs w:val="18"/>
        </w:rPr>
        <w:t> do art. 155 da Lei</w:t>
      </w:r>
      <w:r>
        <w:rPr>
          <w:rStyle w:val="13"/>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032B1E35">
      <w:pPr>
        <w:pStyle w:val="306"/>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65C00B3B">
      <w:pPr>
        <w:pStyle w:val="306"/>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05F76E86">
      <w:pPr>
        <w:pStyle w:val="306"/>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1ABF5FB0">
      <w:pPr>
        <w:pStyle w:val="306"/>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19D70961">
      <w:pPr>
        <w:pStyle w:val="306"/>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61E5C353">
      <w:pPr>
        <w:pStyle w:val="306"/>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3CD69B6E">
      <w:pPr>
        <w:pStyle w:val="306"/>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0C260BE9">
      <w:pPr>
        <w:pStyle w:val="306"/>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4EECA802">
      <w:pPr>
        <w:pStyle w:val="306"/>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5DC853BF">
      <w:pPr>
        <w:pStyle w:val="306"/>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302B5E09">
      <w:pPr>
        <w:pStyle w:val="306"/>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30" w:name="art155ii"/>
      <w:bookmarkEnd w:id="30"/>
      <w:bookmarkStart w:id="31" w:name="art155vii"/>
      <w:bookmarkEnd w:id="31"/>
      <w:bookmarkStart w:id="32" w:name="art155viii"/>
      <w:bookmarkEnd w:id="32"/>
      <w:bookmarkStart w:id="33" w:name="art155vi"/>
      <w:bookmarkEnd w:id="33"/>
      <w:bookmarkStart w:id="34" w:name="art155iii"/>
      <w:bookmarkEnd w:id="34"/>
      <w:bookmarkStart w:id="35" w:name="art155iv"/>
      <w:bookmarkEnd w:id="35"/>
      <w:bookmarkStart w:id="36" w:name="art155v"/>
      <w:bookmarkEnd w:id="36"/>
      <w:bookmarkStart w:id="37" w:name="art155ix"/>
      <w:bookmarkEnd w:id="37"/>
      <w:bookmarkStart w:id="38" w:name="art155x"/>
      <w:bookmarkEnd w:id="38"/>
    </w:p>
    <w:p w14:paraId="3D74C69A">
      <w:pPr>
        <w:pStyle w:val="306"/>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3"/>
          <w:rFonts w:hint="default" w:ascii="Arial" w:hAnsi="Arial" w:cs="Arial"/>
          <w:color w:val="auto"/>
          <w:sz w:val="18"/>
          <w:szCs w:val="18"/>
        </w:rPr>
        <w:t>art. 5º da Lei nº 12.846, de 1º de agosto de 2013.</w:t>
      </w:r>
      <w:r>
        <w:rPr>
          <w:rStyle w:val="13"/>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8"/>
      <w:bookmarkEnd w:id="29"/>
    </w:p>
    <w:p w14:paraId="344C2CF2">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3"/>
          <w:rFonts w:hint="default" w:ascii="Arial" w:hAnsi="Arial" w:cs="Arial"/>
          <w:color w:val="auto"/>
          <w:sz w:val="18"/>
          <w:szCs w:val="18"/>
        </w:rPr>
        <w:t>incisos 17.3.1, 17.3.2, 17.3.3, 17.3.4, 17.3.5 e 17.3.6,</w:t>
      </w:r>
      <w:r>
        <w:rPr>
          <w:rStyle w:val="13"/>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D0E6F8B">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3"/>
          <w:rFonts w:hint="default" w:ascii="Arial" w:hAnsi="Arial" w:cs="Arial"/>
          <w:color w:val="auto"/>
          <w:sz w:val="18"/>
          <w:szCs w:val="18"/>
        </w:rPr>
        <w:t>incisos 17.3.8, 17.3.9, 17.3.10, 17.3.11 e 17.3.12 do </w:t>
      </w:r>
      <w:r>
        <w:rPr>
          <w:rStyle w:val="13"/>
          <w:rFonts w:hint="default" w:ascii="Arial" w:hAnsi="Arial" w:cs="Arial"/>
          <w:bCs/>
          <w:color w:val="auto"/>
          <w:sz w:val="18"/>
          <w:szCs w:val="18"/>
        </w:rPr>
        <w:t>caput</w:t>
      </w:r>
      <w:r>
        <w:rPr>
          <w:rStyle w:val="13"/>
          <w:rFonts w:hint="default" w:ascii="Arial" w:hAnsi="Arial" w:cs="Arial"/>
          <w:color w:val="auto"/>
          <w:sz w:val="18"/>
          <w:szCs w:val="18"/>
        </w:rPr>
        <w:t> do art. 155 da lei 14.133/21</w:t>
      </w:r>
      <w:r>
        <w:rPr>
          <w:rStyle w:val="13"/>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6B3838E">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2E8FBB80">
      <w:pPr>
        <w:pStyle w:val="306"/>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45C856CC">
      <w:pPr>
        <w:pStyle w:val="280"/>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p>
    <w:p w14:paraId="716CAC8A">
      <w:pPr>
        <w:pStyle w:val="305"/>
        <w:spacing w:before="0" w:after="0" w:line="360" w:lineRule="auto"/>
        <w:rPr>
          <w:rFonts w:hint="default" w:ascii="Arial" w:hAnsi="Arial" w:cs="Arial"/>
          <w:color w:val="auto"/>
          <w:sz w:val="18"/>
          <w:szCs w:val="18"/>
        </w:rPr>
      </w:pPr>
      <w:bookmarkStart w:id="39" w:name="art156§5"/>
      <w:bookmarkEnd w:id="39"/>
      <w:bookmarkStart w:id="40" w:name="art156§7"/>
      <w:bookmarkEnd w:id="40"/>
      <w:bookmarkStart w:id="41" w:name="art156§3"/>
      <w:bookmarkEnd w:id="41"/>
      <w:bookmarkStart w:id="42" w:name="art156§6"/>
      <w:bookmarkEnd w:id="42"/>
      <w:bookmarkStart w:id="43" w:name="art156§6ii"/>
      <w:bookmarkEnd w:id="43"/>
      <w:bookmarkStart w:id="44" w:name="art156§4"/>
      <w:bookmarkEnd w:id="44"/>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38F80BA7">
      <w:pPr>
        <w:pStyle w:val="305"/>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p>
    <w:p w14:paraId="67D75F52">
      <w:pPr>
        <w:pStyle w:val="305"/>
        <w:spacing w:before="0" w:after="0" w:line="240" w:lineRule="auto"/>
        <w:rPr>
          <w:rFonts w:hint="default" w:ascii="Arial" w:hAnsi="Arial" w:cs="Arial"/>
          <w:color w:val="auto"/>
          <w:sz w:val="18"/>
          <w:szCs w:val="18"/>
        </w:rPr>
      </w:pPr>
    </w:p>
    <w:p w14:paraId="6DC978B9">
      <w:pPr>
        <w:pStyle w:val="305"/>
        <w:numPr>
          <w:ilvl w:val="0"/>
          <w:numId w:val="16"/>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27"/>
    </w:p>
    <w:p w14:paraId="07D2D34E">
      <w:pPr>
        <w:pStyle w:val="305"/>
        <w:tabs>
          <w:tab w:val="left" w:pos="0"/>
        </w:tabs>
        <w:spacing w:before="0" w:after="0" w:line="360" w:lineRule="auto"/>
        <w:rPr>
          <w:rFonts w:hint="default" w:ascii="Arial" w:hAnsi="Arial" w:cs="Arial"/>
          <w:sz w:val="18"/>
          <w:szCs w:val="18"/>
          <w:lang w:val="pt-BR"/>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3"/>
          <w:rFonts w:hint="default" w:ascii="Arial" w:hAnsi="Arial" w:cs="Arial"/>
          <w:sz w:val="18"/>
          <w:szCs w:val="18"/>
        </w:rPr>
        <w:t>Lei nº 14.133, de 2021</w:t>
      </w:r>
      <w:r>
        <w:rPr>
          <w:rStyle w:val="13"/>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14 de maio de 2026.</w:t>
      </w:r>
    </w:p>
    <w:p w14:paraId="57096A3B">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4009C70B">
      <w:pPr>
        <w:pStyle w:val="305"/>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5"/>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52B44DF4">
      <w:pPr>
        <w:pStyle w:val="306"/>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5BE9A2E1">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74A0DA1C">
      <w:pPr>
        <w:pStyle w:val="280"/>
        <w:numPr>
          <w:ilvl w:val="0"/>
          <w:numId w:val="0"/>
        </w:numPr>
        <w:spacing w:before="0"/>
        <w:rPr>
          <w:rFonts w:hint="default" w:ascii="Arial" w:hAnsi="Arial" w:cs="Arial"/>
          <w:sz w:val="18"/>
          <w:szCs w:val="18"/>
        </w:rPr>
      </w:pPr>
      <w:bookmarkStart w:id="45" w:name="_Toc135469236"/>
    </w:p>
    <w:p w14:paraId="4FD99627">
      <w:pPr>
        <w:pStyle w:val="280"/>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5"/>
    </w:p>
    <w:p w14:paraId="6B457B6D">
      <w:pPr>
        <w:pStyle w:val="305"/>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2FB594BD">
      <w:pPr>
        <w:pStyle w:val="305"/>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5"/>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2B368B1A">
      <w:pPr>
        <w:pStyle w:val="305"/>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1F4A37D3">
      <w:pPr>
        <w:pStyle w:val="305"/>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5"/>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5"/>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0D5CFE35">
      <w:pPr>
        <w:pStyle w:val="305"/>
        <w:spacing w:before="0" w:after="0" w:line="360" w:lineRule="auto"/>
        <w:rPr>
          <w:rFonts w:hint="default" w:ascii="Arial" w:hAnsi="Arial" w:cs="Arial"/>
          <w:sz w:val="18"/>
          <w:szCs w:val="18"/>
        </w:rPr>
      </w:pPr>
      <w:bookmarkStart w:id="46" w:name="_Hlk158877578"/>
      <w:r>
        <w:rPr>
          <w:rFonts w:hint="default" w:eastAsia="SimSun" w:cs="Arial"/>
          <w:sz w:val="18"/>
          <w:szCs w:val="18"/>
          <w:lang w:val="pt-BR"/>
        </w:rPr>
        <w:t xml:space="preserve">19.7 </w:t>
      </w:r>
      <w:r>
        <w:rPr>
          <w:rFonts w:hint="default" w:ascii="Arial" w:hAnsi="Arial" w:eastAsia="SimSun" w:cs="Arial"/>
          <w:sz w:val="18"/>
          <w:szCs w:val="18"/>
        </w:rPr>
        <w:t xml:space="preserve">Considerando princípios como a razoabilidade, a eficiência e a busca pela proposta mais vantajosa, será admitida </w:t>
      </w:r>
      <w:r>
        <w:rPr>
          <w:rStyle w:val="8"/>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5579452C">
      <w:pPr>
        <w:pStyle w:val="305"/>
        <w:spacing w:before="0" w:after="0" w:line="360" w:lineRule="auto"/>
        <w:rPr>
          <w:rFonts w:hint="default" w:ascii="Arial" w:hAnsi="Arial" w:cs="Arial"/>
          <w:sz w:val="18"/>
          <w:szCs w:val="18"/>
        </w:rPr>
      </w:pPr>
      <w:r>
        <w:rPr>
          <w:rFonts w:hint="default" w:ascii="Arial" w:hAnsi="Arial" w:cs="Arial"/>
          <w:sz w:val="18"/>
          <w:szCs w:val="18"/>
        </w:rPr>
        <w:t>19.</w:t>
      </w:r>
      <w:r>
        <w:rPr>
          <w:rFonts w:hint="default" w:cs="Arial"/>
          <w:sz w:val="18"/>
          <w:szCs w:val="18"/>
          <w:lang w:val="pt-BR"/>
        </w:rPr>
        <w:t xml:space="preserve">8 </w:t>
      </w:r>
      <w:r>
        <w:rPr>
          <w:rFonts w:hint="default"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2645EAFC">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57B9A684">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3"/>
          <w:rFonts w:hint="default" w:ascii="Arial" w:hAnsi="Arial" w:cs="Arial"/>
          <w:sz w:val="18"/>
          <w:szCs w:val="18"/>
        </w:rPr>
        <w:t>www.compras.gov.br</w:t>
      </w:r>
      <w:r>
        <w:rPr>
          <w:rStyle w:val="13"/>
          <w:rFonts w:hint="default" w:ascii="Arial" w:hAnsi="Arial" w:cs="Arial"/>
          <w:sz w:val="18"/>
          <w:szCs w:val="18"/>
        </w:rPr>
        <w:fldChar w:fldCharType="end"/>
      </w:r>
      <w:r>
        <w:rPr>
          <w:rFonts w:hint="default" w:ascii="Arial" w:hAnsi="Arial" w:cs="Arial"/>
          <w:sz w:val="18"/>
          <w:szCs w:val="18"/>
        </w:rPr>
        <w:t xml:space="preserve"> e www.cataguases.mg.gov.br</w:t>
      </w:r>
    </w:p>
    <w:p w14:paraId="3408519F">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476AD132">
      <w:pPr>
        <w:pStyle w:val="306"/>
        <w:spacing w:before="0" w:after="0" w:line="360" w:lineRule="auto"/>
        <w:ind w:left="0"/>
        <w:rPr>
          <w:rFonts w:hint="default" w:ascii="Arial" w:hAnsi="Arial" w:cs="Arial"/>
          <w:sz w:val="18"/>
          <w:szCs w:val="18"/>
        </w:rPr>
      </w:pPr>
      <w:r>
        <w:rPr>
          <w:rFonts w:hint="default" w:ascii="Arial" w:hAnsi="Arial" w:cs="Arial"/>
          <w:sz w:val="18"/>
          <w:szCs w:val="18"/>
        </w:rPr>
        <w:t>Anexo I - Termo de Referência</w:t>
      </w:r>
    </w:p>
    <w:p w14:paraId="1F86471F">
      <w:pPr>
        <w:pStyle w:val="307"/>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6"/>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IV - MODELO DE DECLARAÇÃO </w:t>
      </w:r>
      <w:r>
        <w:rPr>
          <w:rFonts w:hint="default" w:cs="Arial"/>
          <w:sz w:val="18"/>
          <w:szCs w:val="18"/>
          <w:lang w:val="pt-BR"/>
        </w:rPr>
        <w:t>UNIFICADA</w:t>
      </w:r>
    </w:p>
    <w:bookmarkEnd w:id="46"/>
    <w:p w14:paraId="05755CA4">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w:t>
      </w:r>
      <w:r>
        <w:rPr>
          <w:rFonts w:hint="default" w:ascii="Arial" w:hAnsi="Arial" w:cs="Arial"/>
          <w:sz w:val="18"/>
          <w:szCs w:val="18"/>
          <w:lang w:val="pt-BR"/>
        </w:rPr>
        <w:t>- MODELO DE ENQUADRAMENTO DE ME/EPP/EQUIPARADAS</w:t>
      </w:r>
    </w:p>
    <w:p w14:paraId="69EC2EDB">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VI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cs="Arial"/>
          <w:sz w:val="18"/>
          <w:szCs w:val="18"/>
          <w:lang w:val="pt-BR"/>
        </w:rPr>
        <w:t>VII</w:t>
      </w:r>
      <w:r>
        <w:rPr>
          <w:rFonts w:hint="default" w:ascii="Arial" w:hAnsi="Arial" w:cs="Arial"/>
          <w:sz w:val="18"/>
          <w:szCs w:val="18"/>
        </w:rPr>
        <w:t xml:space="preserve"> - Estudo técnico preliminar (ETP)</w:t>
      </w:r>
      <w:r>
        <w:rPr>
          <w:rFonts w:hint="default" w:cs="Arial"/>
          <w:sz w:val="18"/>
          <w:szCs w:val="18"/>
          <w:lang w:val="pt-BR"/>
        </w:rPr>
        <w:t>, mapa de risco e demandas</w:t>
      </w:r>
    </w:p>
    <w:p w14:paraId="6A45CE95">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 xml:space="preserve">VIII </w:t>
      </w:r>
      <w:r>
        <w:rPr>
          <w:rFonts w:hint="default" w:ascii="Arial" w:hAnsi="Arial" w:cs="Arial"/>
          <w:sz w:val="18"/>
          <w:szCs w:val="18"/>
        </w:rPr>
        <w:t>- Decreto 5.811/2023 (IR)</w:t>
      </w:r>
    </w:p>
    <w:p w14:paraId="6B1E8229">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I</w:t>
      </w:r>
      <w:r>
        <w:rPr>
          <w:rFonts w:hint="default" w:ascii="Arial" w:hAnsi="Arial" w:cs="Arial"/>
          <w:sz w:val="18"/>
          <w:szCs w:val="18"/>
        </w:rPr>
        <w:t xml:space="preserve">X - </w:t>
      </w:r>
      <w:r>
        <w:rPr>
          <w:rFonts w:hint="default" w:cs="Arial"/>
          <w:sz w:val="18"/>
          <w:szCs w:val="18"/>
          <w:lang w:val="pt-BR"/>
        </w:rPr>
        <w:t>Ofício e t</w:t>
      </w:r>
      <w:r>
        <w:rPr>
          <w:rFonts w:hint="default" w:ascii="Arial" w:hAnsi="Arial" w:cs="Arial"/>
          <w:sz w:val="18"/>
          <w:szCs w:val="18"/>
        </w:rPr>
        <w:t>ermo de referência</w:t>
      </w:r>
    </w:p>
    <w:p w14:paraId="57777C01">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 xml:space="preserve"> - Relação dos itens no ComprasGovernamentais</w:t>
      </w:r>
    </w:p>
    <w:p w14:paraId="168EDB9A">
      <w:pPr>
        <w:pStyle w:val="300"/>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 - L</w:t>
      </w:r>
      <w:r>
        <w:rPr>
          <w:rFonts w:hint="default" w:ascii="Arial" w:hAnsi="Arial" w:cs="Arial"/>
          <w:bCs/>
          <w:color w:val="000000"/>
          <w:sz w:val="18"/>
          <w:szCs w:val="18"/>
        </w:rPr>
        <w:t>ei 4.853/2022</w:t>
      </w:r>
    </w:p>
    <w:p w14:paraId="4CCCCD5F">
      <w:pPr>
        <w:pStyle w:val="300"/>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XII -  L</w:t>
      </w:r>
      <w:r>
        <w:rPr>
          <w:rFonts w:hint="default" w:ascii="Arial" w:hAnsi="Arial" w:cs="Arial"/>
          <w:bCs/>
          <w:color w:val="000000"/>
          <w:sz w:val="18"/>
          <w:szCs w:val="18"/>
        </w:rPr>
        <w:t xml:space="preserve">ei 4.971/2023 </w:t>
      </w:r>
    </w:p>
    <w:p w14:paraId="68F16E08">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XIII - Parecer jurídico abertura</w:t>
      </w:r>
    </w:p>
    <w:p w14:paraId="7413BE21">
      <w:pPr>
        <w:pStyle w:val="300"/>
        <w:numPr>
          <w:ilvl w:val="0"/>
          <w:numId w:val="0"/>
        </w:numPr>
        <w:spacing w:line="240" w:lineRule="auto"/>
        <w:ind w:leftChars="0"/>
        <w:jc w:val="both"/>
        <w:rPr>
          <w:rFonts w:hint="default" w:ascii="Arial" w:hAnsi="Arial" w:cs="Arial"/>
          <w:bCs/>
          <w:color w:val="auto"/>
          <w:sz w:val="18"/>
          <w:szCs w:val="18"/>
          <w:lang w:val="pt-BR"/>
        </w:rPr>
      </w:pPr>
      <w:r>
        <w:rPr>
          <w:rFonts w:hint="default" w:ascii="Arial" w:hAnsi="Arial" w:cs="Arial"/>
          <w:bCs/>
          <w:color w:val="auto"/>
          <w:sz w:val="18"/>
          <w:szCs w:val="18"/>
          <w:lang w:val="pt-BR"/>
        </w:rPr>
        <w:t>Anexo XIV  - Declaração de isenção de AFE/AE</w:t>
      </w:r>
    </w:p>
    <w:p w14:paraId="20B4CE97">
      <w:pPr>
        <w:pStyle w:val="300"/>
        <w:numPr>
          <w:ilvl w:val="0"/>
          <w:numId w:val="0"/>
        </w:numPr>
        <w:spacing w:line="360" w:lineRule="auto"/>
        <w:ind w:leftChars="0"/>
        <w:jc w:val="both"/>
        <w:rPr>
          <w:rFonts w:hint="default" w:ascii="Arial" w:hAnsi="Arial" w:cs="Arial"/>
          <w:bCs/>
          <w:color w:val="000000"/>
          <w:sz w:val="18"/>
          <w:szCs w:val="18"/>
          <w:lang w:val="pt-BR"/>
        </w:rPr>
      </w:pPr>
    </w:p>
    <w:p w14:paraId="1CCD2E25">
      <w:pPr>
        <w:pStyle w:val="306"/>
        <w:spacing w:before="0" w:after="0" w:line="240" w:lineRule="auto"/>
        <w:ind w:left="0"/>
        <w:rPr>
          <w:rFonts w:hint="default" w:ascii="Arial" w:hAnsi="Arial" w:cs="Arial"/>
          <w:sz w:val="18"/>
          <w:szCs w:val="18"/>
        </w:rPr>
      </w:pPr>
    </w:p>
    <w:p w14:paraId="6CD8DE89">
      <w:pPr>
        <w:pStyle w:val="286"/>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47E658BF">
      <w:pPr>
        <w:pStyle w:val="270"/>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w:t>
      </w:r>
      <w:r>
        <w:rPr>
          <w:rFonts w:hint="default" w:ascii="Arial" w:hAnsi="Arial" w:cs="Arial"/>
          <w:sz w:val="18"/>
          <w:szCs w:val="18"/>
          <w:lang w:val="pt-BR" w:eastAsia="ar-SA"/>
        </w:rPr>
        <w:t>2</w:t>
      </w:r>
      <w:r>
        <w:rPr>
          <w:rFonts w:hint="default" w:ascii="Arial" w:hAnsi="Arial" w:cs="Arial"/>
          <w:sz w:val="18"/>
          <w:szCs w:val="18"/>
          <w:lang w:eastAsia="ar-SA"/>
        </w:rPr>
        <w:t>.153/2.009 ou do art. 59, da Lei Complementar Estadual nº 059/2001.</w:t>
      </w:r>
    </w:p>
    <w:p w14:paraId="7C1995C8">
      <w:pPr>
        <w:spacing w:line="360" w:lineRule="auto"/>
        <w:rPr>
          <w:rFonts w:hint="default" w:ascii="Arial" w:hAnsi="Arial" w:cs="Arial"/>
          <w:sz w:val="18"/>
          <w:szCs w:val="18"/>
          <w:lang w:val="pt-BR"/>
        </w:rPr>
      </w:pPr>
      <w:r>
        <w:rPr>
          <w:rFonts w:hint="default" w:ascii="Arial" w:hAnsi="Arial" w:cs="Arial"/>
          <w:sz w:val="18"/>
          <w:szCs w:val="18"/>
        </w:rPr>
        <w:t>Cataguases,</w:t>
      </w:r>
      <w:r>
        <w:rPr>
          <w:rFonts w:hint="default" w:ascii="Arial" w:hAnsi="Arial" w:cs="Arial"/>
          <w:sz w:val="18"/>
          <w:szCs w:val="18"/>
          <w:lang w:val="pt-BR"/>
        </w:rPr>
        <w:t xml:space="preserve"> 28 de abril de 2026.</w:t>
      </w: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0871760C">
      <w:pPr>
        <w:ind w:firstLine="567"/>
        <w:jc w:val="center"/>
        <w:rPr>
          <w:rFonts w:ascii="Arial" w:hAnsi="Arial" w:cs="Arial"/>
          <w:b/>
          <w:bCs/>
          <w:color w:val="auto"/>
          <w:sz w:val="32"/>
          <w:szCs w:val="32"/>
        </w:rPr>
      </w:pPr>
      <w:r>
        <w:rPr>
          <w:rFonts w:hint="default" w:ascii="Arial" w:hAnsi="Arial" w:cs="Arial"/>
          <w:b/>
          <w:bCs/>
          <w:sz w:val="18"/>
          <w:szCs w:val="18"/>
        </w:rPr>
        <w:t>Prefeito de Cataguases</w:t>
      </w:r>
    </w:p>
    <w:p w14:paraId="1FB95994">
      <w:pPr>
        <w:rPr>
          <w:rFonts w:ascii="Arial" w:hAnsi="Arial" w:cs="Arial"/>
          <w:b/>
          <w:bCs/>
          <w:color w:val="auto"/>
          <w:sz w:val="32"/>
          <w:szCs w:val="32"/>
        </w:rPr>
      </w:pPr>
      <w:r>
        <w:rPr>
          <w:rFonts w:ascii="Arial" w:hAnsi="Arial" w:cs="Arial"/>
          <w:b/>
          <w:bCs/>
          <w:color w:val="auto"/>
          <w:sz w:val="32"/>
          <w:szCs w:val="32"/>
        </w:rPr>
        <w:br w:type="page"/>
      </w:r>
    </w:p>
    <w:p w14:paraId="7B855739">
      <w:pPr>
        <w:jc w:val="center"/>
        <w:rPr>
          <w:rFonts w:ascii="Arial" w:hAnsi="Arial" w:cs="Arial"/>
          <w:b/>
          <w:bCs/>
          <w:color w:val="auto"/>
          <w:sz w:val="32"/>
          <w:szCs w:val="32"/>
        </w:rPr>
      </w:pPr>
      <w:r>
        <w:rPr>
          <w:rFonts w:ascii="Arial" w:hAnsi="Arial" w:cs="Arial"/>
          <w:b/>
          <w:bCs/>
          <w:color w:val="auto"/>
          <w:sz w:val="32"/>
          <w:szCs w:val="32"/>
        </w:rPr>
        <w:t xml:space="preserve">ANEXO I </w:t>
      </w:r>
    </w:p>
    <w:p w14:paraId="65CE82C9">
      <w:pPr>
        <w:jc w:val="center"/>
        <w:rPr>
          <w:rFonts w:ascii="Arial" w:hAnsi="Arial" w:cs="Arial"/>
          <w:b/>
          <w:bCs/>
          <w:color w:val="auto"/>
          <w:sz w:val="20"/>
          <w:szCs w:val="20"/>
        </w:rPr>
      </w:pPr>
    </w:p>
    <w:p w14:paraId="2C24B9BE">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043/2026</w:t>
      </w:r>
    </w:p>
    <w:p w14:paraId="7E3385EA">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018/2026</w:t>
      </w:r>
    </w:p>
    <w:p w14:paraId="190AC4D0">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018/2026</w:t>
      </w:r>
    </w:p>
    <w:p w14:paraId="5C3425F6">
      <w:pPr>
        <w:jc w:val="center"/>
        <w:rPr>
          <w:rFonts w:ascii="Arial" w:hAnsi="Arial" w:cs="Arial"/>
          <w:b/>
          <w:bCs/>
          <w:color w:val="000000"/>
          <w:sz w:val="20"/>
          <w:szCs w:val="20"/>
        </w:rPr>
      </w:pPr>
    </w:p>
    <w:p w14:paraId="0776F281">
      <w:pPr>
        <w:pStyle w:val="222"/>
        <w:numPr>
          <w:ilvl w:val="0"/>
          <w:numId w:val="17"/>
        </w:numPr>
        <w:ind w:left="426" w:hanging="426"/>
        <w:rPr>
          <w:rFonts w:ascii="Arial" w:hAnsi="Arial" w:cs="Arial"/>
          <w:b/>
          <w:bCs/>
          <w:color w:val="000000"/>
        </w:rPr>
      </w:pPr>
      <w:r>
        <w:rPr>
          <w:rFonts w:ascii="Arial" w:hAnsi="Arial" w:cs="Arial"/>
          <w:b/>
          <w:bCs/>
          <w:color w:val="000000"/>
        </w:rPr>
        <w:t>ELABORADO PEL</w:t>
      </w:r>
      <w:r>
        <w:rPr>
          <w:rFonts w:hint="default" w:ascii="Arial" w:hAnsi="Arial" w:cs="Arial"/>
          <w:b/>
          <w:bCs/>
          <w:color w:val="000000"/>
          <w:lang w:val="pt-BR"/>
        </w:rPr>
        <w:t>A SECRETARIA DE FAZENDA DA PMC</w:t>
      </w:r>
    </w:p>
    <w:p w14:paraId="5F9DD400">
      <w:pPr>
        <w:rPr>
          <w:rFonts w:hint="default" w:ascii="Arial" w:hAnsi="Arial" w:cs="Arial"/>
          <w:sz w:val="18"/>
          <w:szCs w:val="18"/>
        </w:rPr>
      </w:pPr>
    </w:p>
    <w:p w14:paraId="15947F0D">
      <w:pPr>
        <w:rPr>
          <w:rFonts w:hint="default" w:ascii="Arial" w:hAnsi="Arial" w:cs="Arial"/>
          <w:sz w:val="18"/>
          <w:szCs w:val="18"/>
        </w:rPr>
      </w:pPr>
    </w:p>
    <w:p w14:paraId="452612F0">
      <w:pPr>
        <w:pageBreakBefore w:val="0"/>
        <w:widowControl/>
        <w:kinsoku/>
        <w:wordWrap/>
        <w:overflowPunct/>
        <w:topLinePunct w:val="0"/>
        <w:autoSpaceDE w:val="0"/>
        <w:autoSpaceDN w:val="0"/>
        <w:bidi w:val="0"/>
        <w:adjustRightInd w:val="0"/>
        <w:snapToGrid/>
        <w:spacing w:line="240" w:lineRule="auto"/>
        <w:ind w:left="0" w:right="0"/>
        <w:jc w:val="center"/>
        <w:rPr>
          <w:rFonts w:hint="default" w:ascii="Arial" w:hAnsi="Arial" w:cs="Arial"/>
          <w:b/>
          <w:sz w:val="17"/>
          <w:szCs w:val="17"/>
        </w:rPr>
      </w:pPr>
      <w:r>
        <w:rPr>
          <w:rFonts w:hint="default" w:ascii="Arial" w:hAnsi="Arial" w:cs="Arial"/>
          <w:b/>
          <w:sz w:val="17"/>
          <w:szCs w:val="17"/>
        </w:rPr>
        <w:t xml:space="preserve">TERMO DE REFERÊNCIA </w:t>
      </w:r>
    </w:p>
    <w:p w14:paraId="76EB741C">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leftChars="0" w:right="0"/>
        <w:jc w:val="center"/>
        <w:textAlignment w:val="auto"/>
        <w:rPr>
          <w:rFonts w:hint="default" w:ascii="Arial" w:hAnsi="Arial" w:cs="Arial"/>
          <w:b/>
          <w:sz w:val="17"/>
          <w:szCs w:val="17"/>
        </w:rPr>
      </w:pPr>
    </w:p>
    <w:p w14:paraId="7105017A">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1.CONDIÇÕES GERAIS DA CONTRATAÇÃO</w:t>
      </w:r>
    </w:p>
    <w:p w14:paraId="5EB9759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1.1.</w:t>
      </w:r>
      <w:r>
        <w:rPr>
          <w:rFonts w:ascii="Arial" w:hAnsi="Arial" w:cs="Arial"/>
          <w:sz w:val="17"/>
          <w:szCs w:val="17"/>
        </w:rPr>
        <w:t xml:space="preserve"> O presente documento tem por objetivo estabelecer as condições gerais que orientarão o processo licitatório na modalidade Pregão Eletrônico, pelo sistema de Registro de Preços, tipo Menor preço por item, para aquisição de medicamentos manipulados para atender às demandas judiciais da Secretaria Municipal de Saúde de Cataguases – MG, conforme condições e exigências estabelecidas neste instrumento e com base nos parâmetros da Lei 14.133/2021.</w:t>
      </w:r>
    </w:p>
    <w:p w14:paraId="0E08971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1.2.</w:t>
      </w:r>
      <w:r>
        <w:rPr>
          <w:rFonts w:ascii="Arial" w:hAnsi="Arial" w:cs="Arial"/>
          <w:sz w:val="17"/>
          <w:szCs w:val="17"/>
        </w:rPr>
        <w:t xml:space="preserve"> Os itens se enquadram na classificação de bens e serviços comuns, segundo o art. 6º, inciso XIII, da Lei Federal nº 14.133/2021, conforme a justificativa constante no Estudo Técnico Preliminar.</w:t>
      </w:r>
    </w:p>
    <w:p w14:paraId="5803FB5F">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1.3.</w:t>
      </w:r>
      <w:r>
        <w:rPr>
          <w:rFonts w:ascii="Arial" w:hAnsi="Arial" w:cs="Arial"/>
          <w:sz w:val="17"/>
          <w:szCs w:val="17"/>
        </w:rPr>
        <w:t xml:space="preserve"> O objeto desta contratação não se enquadra como sendo de bem de luxo, conforme Decreto nº 10.818, de 27 de setembro de 2021.</w:t>
      </w:r>
    </w:p>
    <w:p w14:paraId="2C2EE4A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1.4.</w:t>
      </w:r>
      <w:r>
        <w:rPr>
          <w:rFonts w:ascii="Arial" w:hAnsi="Arial" w:cs="Arial"/>
          <w:sz w:val="17"/>
          <w:szCs w:val="17"/>
        </w:rPr>
        <w:t xml:space="preserve"> O prazo de vigência da Ata de Registro de Preços será de 12 (doze) meses, contados da data de sua homologação, podendo ser prorrogado nos termos da Lei nº 14.133/2021. </w:t>
      </w:r>
    </w:p>
    <w:p w14:paraId="1384AC2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1.5.</w:t>
      </w:r>
      <w:r>
        <w:rPr>
          <w:rFonts w:ascii="Arial" w:hAnsi="Arial" w:cs="Arial"/>
          <w:sz w:val="17"/>
          <w:szCs w:val="17"/>
        </w:rPr>
        <w:t xml:space="preserve"> A contratação não está vinculada ao Programa de Aceleração do Crescimento (PAC), tratando-se de despesa destinada à manutenção regular das ações e serviços públicos de saúde, especificamente para o fornecimento de medicamentos manipulados, conforme demanda da Secretaria Municipal de Saúde.</w:t>
      </w:r>
    </w:p>
    <w:p w14:paraId="1A46FF4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4430501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2. ESTIMATIVA DAS QUANTIDADES A SEREM CONTRATADAS</w:t>
      </w:r>
    </w:p>
    <w:p w14:paraId="49D0C48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2.1.</w:t>
      </w:r>
      <w:r>
        <w:rPr>
          <w:rFonts w:ascii="Arial" w:hAnsi="Arial" w:cs="Arial"/>
          <w:sz w:val="17"/>
          <w:szCs w:val="17"/>
        </w:rPr>
        <w:t xml:space="preserve"> A estimativa das quantidades a serem contratadas será definida com base nas demandas judiciais existentes e nas projeções futuras, considerando a sazonalidade e o aumento progressivo de demandas. </w:t>
      </w:r>
    </w:p>
    <w:p w14:paraId="10F892E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2.2.</w:t>
      </w:r>
      <w:r>
        <w:rPr>
          <w:rFonts w:ascii="Arial" w:hAnsi="Arial" w:cs="Arial"/>
          <w:sz w:val="17"/>
          <w:szCs w:val="17"/>
        </w:rPr>
        <w:t xml:space="preserve"> A estimativa segue conforme tabela abaixo:</w:t>
      </w:r>
    </w:p>
    <w:p w14:paraId="6EB02D7B">
      <w:pPr>
        <w:keepNext w:val="0"/>
        <w:keepLines w:val="0"/>
        <w:pageBreakBefore w:val="0"/>
        <w:widowControl/>
        <w:kinsoku/>
        <w:wordWrap/>
        <w:overflowPunct/>
        <w:topLinePunct w:val="0"/>
        <w:bidi w:val="0"/>
        <w:snapToGrid/>
        <w:spacing w:beforeAutospacing="0" w:afterAutospacing="0" w:line="240" w:lineRule="auto"/>
        <w:ind w:left="0"/>
        <w:jc w:val="center"/>
        <w:textAlignment w:val="auto"/>
        <w:rPr>
          <w:rFonts w:ascii="Arial" w:hAnsi="Arial" w:cs="Arial"/>
          <w:sz w:val="17"/>
          <w:szCs w:val="17"/>
        </w:rPr>
      </w:pPr>
      <w:r>
        <w:rPr>
          <w:rFonts w:ascii="Arial" w:hAnsi="Arial" w:cs="Arial"/>
          <w:b/>
          <w:sz w:val="17"/>
          <w:szCs w:val="17"/>
          <w:lang w:eastAsia="pt-BR"/>
        </w:rPr>
        <w:drawing>
          <wp:inline distT="0" distB="0" distL="114300" distR="114300">
            <wp:extent cx="5968365" cy="3599815"/>
            <wp:effectExtent l="0" t="0" r="13335" b="63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68365" cy="3599815"/>
                    </a:xfrm>
                    <a:prstGeom prst="rect">
                      <a:avLst/>
                    </a:prstGeom>
                    <a:noFill/>
                  </pic:spPr>
                </pic:pic>
              </a:graphicData>
            </a:graphic>
          </wp:inline>
        </w:drawing>
      </w:r>
    </w:p>
    <w:p w14:paraId="1FA9433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OBS:</w:t>
      </w:r>
      <w:r>
        <w:rPr>
          <w:rFonts w:ascii="Arial" w:hAnsi="Arial" w:cs="Arial"/>
          <w:sz w:val="17"/>
          <w:szCs w:val="17"/>
        </w:rPr>
        <w:t xml:space="preserve"> Quando não for encontrado código com a descrição exata do item no sistema</w:t>
      </w:r>
    </w:p>
    <w:p w14:paraId="2F7824B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ComprasNet, será utilizado o código que mais se aproxima do produto, prevalecendo as descrições constantes neste Termo de Referência.</w:t>
      </w:r>
    </w:p>
    <w:p w14:paraId="2F1C630C">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2307C635">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3. FUNDAMENTAÇÃO E DESCRIÇÃO DA NECESSIDADE DA CONTRATAÇÃO</w:t>
      </w:r>
    </w:p>
    <w:p w14:paraId="1DD62695">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3.1.</w:t>
      </w:r>
      <w:r>
        <w:rPr>
          <w:rFonts w:ascii="Arial" w:hAnsi="Arial" w:cs="Arial"/>
          <w:sz w:val="17"/>
          <w:szCs w:val="17"/>
        </w:rPr>
        <w:t xml:space="preserve"> A Secretaria Municipal de Saúde de Cataguases/MG possui a responsabilidade de assegurar o acesso da população a medicamentos manipulados, especialmente para o atendimento de demandas judiciais regularmente impostas ao município. Tais demandas decorrem de decisões judiciais que determinam o fornecimento de medicamentos não padronizados na rede pública ou não contemplados nos protocolos clínicos do Sistema Único de Saúde (SUS), com o objetivo de atender às necessidades específicas dos pacientes.</w:t>
      </w:r>
    </w:p>
    <w:p w14:paraId="64C5C4F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3.2.</w:t>
      </w:r>
      <w:r>
        <w:rPr>
          <w:rFonts w:ascii="Arial" w:hAnsi="Arial" w:cs="Arial"/>
          <w:sz w:val="17"/>
          <w:szCs w:val="17"/>
        </w:rPr>
        <w:t xml:space="preserve"> Diante disso, a presente contratação justifica-se pela necessidade de garantir o fornecimento contínuo, eficiente e em tempo hábil desses medicamentos manipulados, assegurando o cumprimento das obrigações legais impostas ao ente municipal, bem como a continuidade da assistência farmacêutica e a adequada prestação dos serviços de saúde à população.</w:t>
      </w:r>
    </w:p>
    <w:p w14:paraId="1E6FB2EB">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1ECB0AD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 xml:space="preserve">4. DESCRIÇÃO DA SOLUÇÃO COMO UM TODO CONSIDERADO O CICLO DE VIDA DO OBJETO E ESPECIFICAÇÃO DO PRODUTO. </w:t>
      </w:r>
    </w:p>
    <w:p w14:paraId="01A117B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4.1.</w:t>
      </w:r>
      <w:r>
        <w:rPr>
          <w:rFonts w:ascii="Arial" w:hAnsi="Arial" w:cs="Arial"/>
          <w:sz w:val="17"/>
          <w:szCs w:val="17"/>
        </w:rPr>
        <w:t xml:space="preserve"> A solução proposta para a aquisição de medicamentos manipulados visa atender de maneira integral e contínua as determinações judiciais recebidas pela Secretaria Municipal de Saúde de Cataguases - MG, considerando a necessidade de fórmulas individualizadas conforme prescrição médica.</w:t>
      </w:r>
    </w:p>
    <w:p w14:paraId="0B08049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4.2.</w:t>
      </w:r>
      <w:r>
        <w:rPr>
          <w:rFonts w:ascii="Arial" w:hAnsi="Arial" w:cs="Arial"/>
          <w:sz w:val="17"/>
          <w:szCs w:val="17"/>
        </w:rPr>
        <w:t xml:space="preserve"> A escolha pela modalidade de pregão eletrônico, com registro de preços, permitirá que os medicamentos manipulados sejam adquiridos conforme a demanda, garantindo agilidade e eficiência no atendimento às necessidades dos usuários do SUS.</w:t>
      </w:r>
    </w:p>
    <w:p w14:paraId="5C68230D">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4.3.</w:t>
      </w:r>
      <w:r>
        <w:rPr>
          <w:rFonts w:ascii="Arial" w:hAnsi="Arial" w:cs="Arial"/>
          <w:sz w:val="17"/>
          <w:szCs w:val="17"/>
        </w:rPr>
        <w:t xml:space="preserve"> A adoção do critério de menor preço por item assegura que a contratação seja realizada de forma econômica, em observância ao princípio da economicidade e à otimização dos recursos públicos.</w:t>
      </w:r>
    </w:p>
    <w:p w14:paraId="23E5BC2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4.4.</w:t>
      </w:r>
      <w:r>
        <w:rPr>
          <w:rFonts w:ascii="Arial" w:hAnsi="Arial" w:cs="Arial"/>
          <w:sz w:val="17"/>
          <w:szCs w:val="17"/>
        </w:rPr>
        <w:t xml:space="preserve"> A contratação, conforme estabelecido pela Lei nº 14.133/2021, possibilitará maior competitividade entre os fornecedores, ampliando as opções de aquisição com qualidade, segurança e observância às especificações técnicas exigidas para a manipulação farmacêutica.</w:t>
      </w:r>
    </w:p>
    <w:p w14:paraId="512A145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4.5.</w:t>
      </w:r>
      <w:r>
        <w:rPr>
          <w:rFonts w:ascii="Arial" w:hAnsi="Arial" w:cs="Arial"/>
          <w:sz w:val="17"/>
          <w:szCs w:val="17"/>
        </w:rPr>
        <w:t xml:space="preserve"> Dessa maneira, a solução apresentada contempla tanto a conformidade com as exigências legais quanto a eficiência na gestão de recursos e no atendimento das demandas judiciais, garantindo o fornecimento contínuo e adequado dos medicamentos manipulados essenciais à saúde da população.</w:t>
      </w:r>
    </w:p>
    <w:p w14:paraId="5EF5D49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6A34800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bCs/>
          <w:sz w:val="17"/>
          <w:szCs w:val="17"/>
        </w:rPr>
        <w:t>5.</w:t>
      </w:r>
      <w:r>
        <w:rPr>
          <w:rFonts w:ascii="Arial" w:hAnsi="Arial" w:cs="Arial"/>
          <w:b/>
          <w:sz w:val="17"/>
          <w:szCs w:val="17"/>
        </w:rPr>
        <w:t xml:space="preserve"> REQUISITOS DA CONTRATAÇÃO</w:t>
      </w:r>
    </w:p>
    <w:p w14:paraId="73F8B1D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5.1.</w:t>
      </w:r>
      <w:r>
        <w:rPr>
          <w:rFonts w:ascii="Arial" w:hAnsi="Arial" w:cs="Arial"/>
          <w:bCs/>
          <w:sz w:val="17"/>
          <w:szCs w:val="17"/>
        </w:rPr>
        <w:t xml:space="preserve"> A aquisição de medicamentos manipulados deve atender aos seguintes requisitos:</w:t>
      </w:r>
    </w:p>
    <w:p w14:paraId="35D7EC3F">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a)</w:t>
      </w:r>
      <w:r>
        <w:rPr>
          <w:rFonts w:ascii="Arial" w:hAnsi="Arial" w:cs="Arial"/>
          <w:bCs/>
          <w:sz w:val="17"/>
          <w:szCs w:val="17"/>
        </w:rPr>
        <w:t xml:space="preserve"> Adequação às Prescrições Médicas e Determinações Judiciais:</w:t>
      </w:r>
      <w:r>
        <w:rPr>
          <w:rFonts w:ascii="Arial" w:hAnsi="Arial" w:cs="Arial"/>
          <w:bCs/>
          <w:sz w:val="17"/>
          <w:szCs w:val="17"/>
        </w:rPr>
        <w:br w:type="textWrapping"/>
      </w:r>
      <w:r>
        <w:rPr>
          <w:rFonts w:ascii="Arial" w:hAnsi="Arial" w:cs="Arial"/>
          <w:bCs/>
          <w:sz w:val="17"/>
          <w:szCs w:val="17"/>
        </w:rPr>
        <w:t>Os medicamentos manipulados deverão atender integralmente às prescrições médicas que fundamentam as demandas judiciais, quanto à formulação, princípio(s) ativo(s), concentração, forma farmacêutica, posologia, via de administração e demais especificações técnicas, sendo vedada qualquer substituição ou alteração sem expressa autorização médica ou judicial.</w:t>
      </w:r>
    </w:p>
    <w:p w14:paraId="4508B5C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b)</w:t>
      </w:r>
      <w:r>
        <w:rPr>
          <w:rFonts w:ascii="Arial" w:hAnsi="Arial" w:cs="Arial"/>
          <w:bCs/>
          <w:sz w:val="17"/>
          <w:szCs w:val="17"/>
        </w:rPr>
        <w:t xml:space="preserve"> Qualidade, Segurança e Boas Práticas de Manipulação:</w:t>
      </w:r>
      <w:r>
        <w:rPr>
          <w:rFonts w:ascii="Arial" w:hAnsi="Arial" w:cs="Arial"/>
          <w:bCs/>
          <w:sz w:val="17"/>
          <w:szCs w:val="17"/>
        </w:rPr>
        <w:br w:type="textWrapping"/>
      </w:r>
      <w:r>
        <w:rPr>
          <w:rFonts w:ascii="Arial" w:hAnsi="Arial" w:cs="Arial"/>
          <w:bCs/>
          <w:sz w:val="17"/>
          <w:szCs w:val="17"/>
        </w:rPr>
        <w:t>Os medicamentos deverão ser preparados por farmácias de manipulação devidamente regularizadas junto aos órgãos competentes, observando rigorosamente as normas sanitárias vigentes, incluindo as Boas Práticas de Manipulação, garantindo qualidade, segurança, eficácia e padronização dos produtos.</w:t>
      </w:r>
    </w:p>
    <w:p w14:paraId="6127362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c)</w:t>
      </w:r>
      <w:r>
        <w:rPr>
          <w:rFonts w:ascii="Arial" w:hAnsi="Arial" w:cs="Arial"/>
          <w:bCs/>
          <w:sz w:val="17"/>
          <w:szCs w:val="17"/>
        </w:rPr>
        <w:t xml:space="preserve"> Integridade, Embalagem e Identificação:</w:t>
      </w:r>
      <w:r>
        <w:rPr>
          <w:rFonts w:ascii="Arial" w:hAnsi="Arial" w:cs="Arial"/>
          <w:bCs/>
          <w:sz w:val="17"/>
          <w:szCs w:val="17"/>
        </w:rPr>
        <w:br w:type="textWrapping"/>
      </w:r>
      <w:r>
        <w:rPr>
          <w:rFonts w:ascii="Arial" w:hAnsi="Arial" w:cs="Arial"/>
          <w:bCs/>
          <w:sz w:val="17"/>
          <w:szCs w:val="17"/>
        </w:rPr>
        <w:t>Os medicamentos manipulados deverão ser fornecidos em embalagens adequadas, íntegras e devidamente lacradas, contendo rótulo com identificação completa, incluindo nome do paciente (quando aplicável), composição, concentração, data de manipulação, prazo de validade, lote, posologia e demais informações exigidas pela legislação sanitária, assegurando a rastreabilidade e o uso seguro.</w:t>
      </w:r>
    </w:p>
    <w:p w14:paraId="7A40C055">
      <w:pPr>
        <w:keepNext w:val="0"/>
        <w:keepLines w:val="0"/>
        <w:pageBreakBefore w:val="0"/>
        <w:widowControl/>
        <w:kinsoku/>
        <w:wordWrap/>
        <w:overflowPunct/>
        <w:topLinePunct w:val="0"/>
        <w:bidi w:val="0"/>
        <w:snapToGrid/>
        <w:spacing w:beforeAutospacing="0" w:afterAutospacing="0" w:line="240" w:lineRule="auto"/>
        <w:ind w:left="0"/>
        <w:textAlignment w:val="auto"/>
        <w:rPr>
          <w:rFonts w:ascii="Arial" w:hAnsi="Arial" w:cs="Arial"/>
          <w:bCs/>
          <w:sz w:val="17"/>
          <w:szCs w:val="17"/>
        </w:rPr>
      </w:pPr>
      <w:r>
        <w:rPr>
          <w:rFonts w:ascii="Arial" w:hAnsi="Arial" w:cs="Arial"/>
          <w:b/>
          <w:bCs/>
          <w:sz w:val="17"/>
          <w:szCs w:val="17"/>
        </w:rPr>
        <w:t>d)</w:t>
      </w:r>
      <w:r>
        <w:rPr>
          <w:rFonts w:ascii="Arial" w:hAnsi="Arial" w:cs="Arial"/>
          <w:bCs/>
          <w:sz w:val="17"/>
          <w:szCs w:val="17"/>
        </w:rPr>
        <w:t xml:space="preserve"> Validade Compatível com Uso:</w:t>
      </w:r>
      <w:r>
        <w:rPr>
          <w:rFonts w:ascii="Arial" w:hAnsi="Arial" w:cs="Arial"/>
          <w:bCs/>
          <w:sz w:val="17"/>
          <w:szCs w:val="17"/>
        </w:rPr>
        <w:br w:type="textWrapping"/>
      </w:r>
      <w:r>
        <w:rPr>
          <w:rFonts w:ascii="Arial" w:hAnsi="Arial" w:cs="Arial"/>
          <w:bCs/>
          <w:sz w:val="17"/>
          <w:szCs w:val="17"/>
        </w:rPr>
        <w:t>Os medicamentos manipulados deverão apresentar prazo de validade compatível com sua natureza e estabilidade, observadas as normas técnicas aplicáveis, garantindo sua eficácia e segurança durante todo o período de utilização pelo paciente.</w:t>
      </w:r>
    </w:p>
    <w:p w14:paraId="47092F13">
      <w:pPr>
        <w:keepNext w:val="0"/>
        <w:keepLines w:val="0"/>
        <w:pageBreakBefore w:val="0"/>
        <w:widowControl/>
        <w:kinsoku/>
        <w:wordWrap/>
        <w:overflowPunct/>
        <w:topLinePunct w:val="0"/>
        <w:bidi w:val="0"/>
        <w:snapToGrid/>
        <w:spacing w:beforeAutospacing="0" w:afterAutospacing="0" w:line="240" w:lineRule="auto"/>
        <w:ind w:left="0"/>
        <w:textAlignment w:val="auto"/>
        <w:rPr>
          <w:rFonts w:ascii="Arial" w:hAnsi="Arial" w:cs="Arial"/>
          <w:bCs/>
          <w:sz w:val="17"/>
          <w:szCs w:val="17"/>
        </w:rPr>
      </w:pPr>
      <w:r>
        <w:rPr>
          <w:rFonts w:ascii="Arial" w:hAnsi="Arial" w:cs="Arial"/>
          <w:b/>
          <w:bCs/>
          <w:sz w:val="17"/>
          <w:szCs w:val="17"/>
        </w:rPr>
        <w:t>e)</w:t>
      </w:r>
      <w:r>
        <w:rPr>
          <w:rFonts w:ascii="Arial" w:hAnsi="Arial" w:cs="Arial"/>
          <w:bCs/>
          <w:sz w:val="17"/>
          <w:szCs w:val="17"/>
        </w:rPr>
        <w:t xml:space="preserve"> Condições de Conservação, Transporte e Manuseio:</w:t>
      </w:r>
      <w:r>
        <w:rPr>
          <w:rFonts w:ascii="Arial" w:hAnsi="Arial" w:cs="Arial"/>
          <w:bCs/>
          <w:sz w:val="17"/>
          <w:szCs w:val="17"/>
        </w:rPr>
        <w:br w:type="textWrapping"/>
      </w:r>
      <w:r>
        <w:rPr>
          <w:rFonts w:ascii="Arial" w:hAnsi="Arial" w:cs="Arial"/>
          <w:bCs/>
          <w:sz w:val="17"/>
          <w:szCs w:val="17"/>
        </w:rPr>
        <w:t>Os medicamentos deverão ser preparados, armazenados e transportados em condições adequadas, de modo a preservar suas características físico-químicas, microbiológicas e terapêuticas, conforme exigências sanitárias vigentes.</w:t>
      </w:r>
    </w:p>
    <w:p w14:paraId="7A596D22">
      <w:pPr>
        <w:keepNext w:val="0"/>
        <w:keepLines w:val="0"/>
        <w:pageBreakBefore w:val="0"/>
        <w:widowControl/>
        <w:kinsoku/>
        <w:wordWrap/>
        <w:overflowPunct/>
        <w:topLinePunct w:val="0"/>
        <w:bidi w:val="0"/>
        <w:snapToGrid/>
        <w:spacing w:beforeAutospacing="0" w:afterAutospacing="0" w:line="240" w:lineRule="auto"/>
        <w:ind w:left="0"/>
        <w:textAlignment w:val="auto"/>
        <w:rPr>
          <w:rFonts w:ascii="Arial" w:hAnsi="Arial" w:cs="Arial"/>
          <w:bCs/>
          <w:sz w:val="17"/>
          <w:szCs w:val="17"/>
        </w:rPr>
      </w:pPr>
      <w:r>
        <w:rPr>
          <w:rFonts w:ascii="Arial" w:hAnsi="Arial" w:cs="Arial"/>
          <w:b/>
          <w:bCs/>
          <w:sz w:val="17"/>
          <w:szCs w:val="17"/>
        </w:rPr>
        <w:t>f)</w:t>
      </w:r>
      <w:r>
        <w:rPr>
          <w:rFonts w:ascii="Arial" w:hAnsi="Arial" w:cs="Arial"/>
          <w:bCs/>
          <w:sz w:val="17"/>
          <w:szCs w:val="17"/>
        </w:rPr>
        <w:t xml:space="preserve"> Os estabelecimentos deverão estar devidamente regularizados junto à Vigilância Sanitária competente e à Agência Nacional de Vigilância Sanitária (ANVISA), observando as normas vigentes de Boas Práticas de Manipulação.</w:t>
      </w:r>
      <w:r>
        <w:rPr>
          <w:rFonts w:ascii="Arial" w:hAnsi="Arial" w:cs="Arial"/>
          <w:bCs/>
          <w:sz w:val="17"/>
          <w:szCs w:val="17"/>
        </w:rPr>
        <w:tab/>
      </w:r>
      <w:r>
        <w:rPr>
          <w:rFonts w:ascii="Arial" w:hAnsi="Arial" w:cs="Arial"/>
          <w:bCs/>
          <w:sz w:val="17"/>
          <w:szCs w:val="17"/>
        </w:rPr>
        <w:t>‘’</w:t>
      </w:r>
    </w:p>
    <w:p w14:paraId="17A20963">
      <w:pPr>
        <w:keepNext w:val="0"/>
        <w:keepLines w:val="0"/>
        <w:pageBreakBefore w:val="0"/>
        <w:widowControl/>
        <w:kinsoku/>
        <w:wordWrap/>
        <w:overflowPunct/>
        <w:topLinePunct w:val="0"/>
        <w:bidi w:val="0"/>
        <w:snapToGrid/>
        <w:spacing w:beforeAutospacing="0" w:afterAutospacing="0" w:line="240" w:lineRule="auto"/>
        <w:ind w:left="0"/>
        <w:textAlignment w:val="auto"/>
        <w:rPr>
          <w:rFonts w:ascii="Arial" w:hAnsi="Arial" w:cs="Arial"/>
          <w:bCs/>
          <w:sz w:val="17"/>
          <w:szCs w:val="17"/>
        </w:rPr>
      </w:pPr>
      <w:r>
        <w:rPr>
          <w:rFonts w:ascii="Arial" w:hAnsi="Arial" w:cs="Arial"/>
          <w:b/>
          <w:bCs/>
          <w:sz w:val="17"/>
          <w:szCs w:val="17"/>
        </w:rPr>
        <w:t>5.2. Sustentabilidade</w:t>
      </w:r>
      <w:r>
        <w:rPr>
          <w:rFonts w:ascii="Arial" w:hAnsi="Arial" w:cs="Arial"/>
          <w:bCs/>
          <w:sz w:val="17"/>
          <w:szCs w:val="17"/>
        </w:rPr>
        <w:br w:type="textWrapping"/>
      </w:r>
      <w:r>
        <w:rPr>
          <w:rFonts w:ascii="Arial" w:hAnsi="Arial" w:cs="Arial"/>
          <w:b/>
          <w:bCs/>
          <w:sz w:val="17"/>
          <w:szCs w:val="17"/>
        </w:rPr>
        <w:t>5.2.1.</w:t>
      </w:r>
      <w:r>
        <w:rPr>
          <w:rFonts w:ascii="Arial" w:hAnsi="Arial" w:cs="Arial"/>
          <w:bCs/>
          <w:sz w:val="17"/>
          <w:szCs w:val="17"/>
        </w:rPr>
        <w:t xml:space="preserve"> Além dos critérios de sustentabilidade eventualmente inseridos na descrição do objeto, devem ser atendidos os requisitos previstos no Guia Nacional de Contratações Sustentáveis, no que couber à natureza do objeto.</w:t>
      </w:r>
    </w:p>
    <w:p w14:paraId="26893041">
      <w:pPr>
        <w:keepNext w:val="0"/>
        <w:keepLines w:val="0"/>
        <w:pageBreakBefore w:val="0"/>
        <w:widowControl/>
        <w:kinsoku/>
        <w:wordWrap/>
        <w:overflowPunct/>
        <w:topLinePunct w:val="0"/>
        <w:bidi w:val="0"/>
        <w:snapToGrid/>
        <w:spacing w:beforeAutospacing="0" w:afterAutospacing="0" w:line="240" w:lineRule="auto"/>
        <w:ind w:left="0"/>
        <w:textAlignment w:val="auto"/>
        <w:rPr>
          <w:rFonts w:ascii="Arial" w:hAnsi="Arial" w:cs="Arial"/>
          <w:bCs/>
          <w:sz w:val="17"/>
          <w:szCs w:val="17"/>
        </w:rPr>
      </w:pPr>
      <w:r>
        <w:rPr>
          <w:rFonts w:ascii="Arial" w:hAnsi="Arial" w:cs="Arial"/>
          <w:b/>
          <w:bCs/>
          <w:sz w:val="17"/>
          <w:szCs w:val="17"/>
        </w:rPr>
        <w:t>5.3. Subcontratação</w:t>
      </w:r>
      <w:r>
        <w:rPr>
          <w:rFonts w:ascii="Arial" w:hAnsi="Arial" w:cs="Arial"/>
          <w:b/>
          <w:bCs/>
          <w:sz w:val="17"/>
          <w:szCs w:val="17"/>
        </w:rPr>
        <w:br w:type="textWrapping"/>
      </w:r>
      <w:r>
        <w:rPr>
          <w:rFonts w:ascii="Arial" w:hAnsi="Arial" w:cs="Arial"/>
          <w:b/>
          <w:bCs/>
          <w:sz w:val="17"/>
          <w:szCs w:val="17"/>
        </w:rPr>
        <w:t>5.3.1.</w:t>
      </w:r>
      <w:r>
        <w:rPr>
          <w:rFonts w:ascii="Arial" w:hAnsi="Arial" w:cs="Arial"/>
          <w:bCs/>
          <w:sz w:val="17"/>
          <w:szCs w:val="17"/>
        </w:rPr>
        <w:t xml:space="preserve"> É vedada a subcontratação.</w:t>
      </w:r>
    </w:p>
    <w:p w14:paraId="7176241B">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5.4. Garantia da Contratação</w:t>
      </w:r>
    </w:p>
    <w:p w14:paraId="6EDE8D0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5.4.1.</w:t>
      </w:r>
      <w:r>
        <w:rPr>
          <w:rFonts w:ascii="Arial" w:hAnsi="Arial" w:cs="Arial"/>
          <w:sz w:val="17"/>
          <w:szCs w:val="17"/>
        </w:rPr>
        <w:t xml:space="preserve"> Não será exigida garantia de execução da contratação para esse objeto.</w:t>
      </w:r>
    </w:p>
    <w:p w14:paraId="5055663A">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 xml:space="preserve">5.5. Da Indicação de Marcas ou Modelos </w:t>
      </w:r>
    </w:p>
    <w:p w14:paraId="21AF353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5.5.1.</w:t>
      </w:r>
      <w:r>
        <w:rPr>
          <w:rFonts w:ascii="Arial" w:hAnsi="Arial" w:cs="Arial"/>
          <w:bCs/>
          <w:sz w:val="17"/>
          <w:szCs w:val="17"/>
        </w:rPr>
        <w:t xml:space="preserve"> Não se aplica neste caso.</w:t>
      </w:r>
    </w:p>
    <w:p w14:paraId="19A6A5B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5.6. Da Vedação de Marcas ou Modelos</w:t>
      </w:r>
    </w:p>
    <w:p w14:paraId="0B2A2ED7">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5.6.1.</w:t>
      </w:r>
      <w:r>
        <w:rPr>
          <w:rFonts w:ascii="Arial" w:hAnsi="Arial" w:cs="Arial"/>
          <w:sz w:val="17"/>
          <w:szCs w:val="17"/>
        </w:rPr>
        <w:t xml:space="preserve"> Não se aplica neste caso.</w:t>
      </w:r>
    </w:p>
    <w:p w14:paraId="5BA6ED2F">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 xml:space="preserve">5.7. Da Vedação de Contratação de Marcas ou Produtos </w:t>
      </w:r>
    </w:p>
    <w:p w14:paraId="1CD3EEA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5.7.1.</w:t>
      </w:r>
      <w:r>
        <w:rPr>
          <w:rFonts w:ascii="Arial" w:hAnsi="Arial" w:cs="Arial"/>
          <w:sz w:val="17"/>
          <w:szCs w:val="17"/>
        </w:rPr>
        <w:t xml:space="preserve">  Não se aplica neste caso.</w:t>
      </w:r>
    </w:p>
    <w:p w14:paraId="54EE5DA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5.8. Da Amostra</w:t>
      </w:r>
    </w:p>
    <w:p w14:paraId="3BAF775D">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5.8.1.</w:t>
      </w:r>
      <w:r>
        <w:rPr>
          <w:rFonts w:ascii="Arial" w:hAnsi="Arial" w:cs="Arial"/>
          <w:sz w:val="17"/>
          <w:szCs w:val="17"/>
        </w:rPr>
        <w:t xml:space="preserve"> Para esta contratação, não será exigida a apresentação prévia de amostras, desde que os produtos atendam integralmente às especificações constantes neste Termo de Referência.</w:t>
      </w:r>
    </w:p>
    <w:p w14:paraId="6D441A0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5.9. Responsável</w:t>
      </w:r>
    </w:p>
    <w:p w14:paraId="375A67EB">
      <w:pPr>
        <w:keepNext w:val="0"/>
        <w:keepLines w:val="0"/>
        <w:pageBreakBefore w:val="0"/>
        <w:widowControl/>
        <w:numPr>
          <w:ilvl w:val="0"/>
          <w:numId w:val="18"/>
        </w:numPr>
        <w:kinsoku/>
        <w:wordWrap/>
        <w:overflowPunct/>
        <w:topLinePunct w:val="0"/>
        <w:bidi w:val="0"/>
        <w:snapToGrid/>
        <w:spacing w:beforeAutospacing="0" w:afterAutospacing="0" w:line="240" w:lineRule="auto"/>
        <w:ind w:left="0" w:leftChars="0" w:firstLine="0" w:firstLineChars="0"/>
        <w:jc w:val="both"/>
        <w:textAlignment w:val="auto"/>
        <w:rPr>
          <w:rFonts w:ascii="Arial" w:hAnsi="Arial" w:cs="Arial"/>
          <w:sz w:val="17"/>
          <w:szCs w:val="17"/>
        </w:rPr>
      </w:pPr>
      <w:r>
        <w:rPr>
          <w:rFonts w:ascii="Arial" w:hAnsi="Arial" w:cs="Arial"/>
          <w:sz w:val="17"/>
          <w:szCs w:val="17"/>
        </w:rPr>
        <w:t>Natália da Silva Gonçalves Samel</w:t>
      </w:r>
    </w:p>
    <w:p w14:paraId="1D2B711A">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E-mail:</w:t>
      </w:r>
      <w:r>
        <w:rPr>
          <w:rFonts w:ascii="Arial" w:hAnsi="Arial" w:cs="Arial"/>
          <w:sz w:val="17"/>
          <w:szCs w:val="17"/>
        </w:rPr>
        <w:t xml:space="preserve"> </w:t>
      </w:r>
      <w:r>
        <w:rPr>
          <w:sz w:val="17"/>
          <w:szCs w:val="17"/>
        </w:rPr>
        <w:fldChar w:fldCharType="begin"/>
      </w:r>
      <w:r>
        <w:rPr>
          <w:sz w:val="17"/>
          <w:szCs w:val="17"/>
        </w:rPr>
        <w:instrText xml:space="preserve"> HYPERLINK "mailto:diretoriasaudecataguases@gmail.com" </w:instrText>
      </w:r>
      <w:r>
        <w:rPr>
          <w:sz w:val="17"/>
          <w:szCs w:val="17"/>
        </w:rPr>
        <w:fldChar w:fldCharType="separate"/>
      </w:r>
      <w:r>
        <w:rPr>
          <w:rStyle w:val="13"/>
          <w:rFonts w:ascii="Arial" w:hAnsi="Arial" w:cs="Arial"/>
          <w:sz w:val="17"/>
          <w:szCs w:val="17"/>
        </w:rPr>
        <w:t>diretoriasaudecataguases@gmail.com</w:t>
      </w:r>
      <w:r>
        <w:rPr>
          <w:rStyle w:val="13"/>
          <w:rFonts w:ascii="Arial" w:hAnsi="Arial" w:cs="Arial"/>
          <w:sz w:val="17"/>
          <w:szCs w:val="17"/>
        </w:rPr>
        <w:fldChar w:fldCharType="end"/>
      </w:r>
    </w:p>
    <w:p w14:paraId="6D770A9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Telefone:</w:t>
      </w:r>
      <w:r>
        <w:rPr>
          <w:rFonts w:ascii="Arial" w:hAnsi="Arial" w:cs="Arial"/>
          <w:sz w:val="17"/>
          <w:szCs w:val="17"/>
        </w:rPr>
        <w:t xml:space="preserve"> 32-3429-2600 ramal: 202</w:t>
      </w:r>
    </w:p>
    <w:p w14:paraId="0A461145">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4C44B79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6. MODELO DE EXECUÇÃO DO OBJETO</w:t>
      </w:r>
      <w:r>
        <w:rPr>
          <w:rFonts w:ascii="Arial" w:hAnsi="Arial" w:cs="Arial"/>
          <w:b/>
          <w:sz w:val="17"/>
          <w:szCs w:val="17"/>
        </w:rPr>
        <w:tab/>
      </w:r>
    </w:p>
    <w:p w14:paraId="480A6BA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6.1.</w:t>
      </w:r>
      <w:r>
        <w:rPr>
          <w:rFonts w:ascii="Arial" w:hAnsi="Arial" w:cs="Arial"/>
          <w:sz w:val="17"/>
          <w:szCs w:val="17"/>
        </w:rPr>
        <w:t xml:space="preserve"> O fornecimento de medicamentos manipulados será realizado de forma parcelada, conforme a necessidade da Administração, mediante emissão da Solicitação de Fornecimento pela Secretaria Municipal de Saúde, a qual conterá a identificação do paciente (quando aplicável), descrição da fórmula, composição, concentração, forma farmacêutica, quantitativos, local de entrega e demais informações necessárias ao atendimento das demandas judiciais.</w:t>
      </w:r>
    </w:p>
    <w:p w14:paraId="3A3C4E2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6.2.</w:t>
      </w:r>
      <w:r>
        <w:rPr>
          <w:rFonts w:ascii="Arial" w:hAnsi="Arial" w:cs="Arial"/>
          <w:sz w:val="17"/>
          <w:szCs w:val="17"/>
        </w:rPr>
        <w:t xml:space="preserve"> A Contratada deverá atender integralmente à Solicitação de Fornecimento emitida, observando rigorosamente as prescrições médicas e determinações judiciais, sendo vedada qualquer alteração na formulação, concentração, forma farmacêutica ou posologia, salvo mediante autorização expressa da Administração.</w:t>
      </w:r>
    </w:p>
    <w:p w14:paraId="3559194B">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6.3.</w:t>
      </w:r>
      <w:r>
        <w:rPr>
          <w:rFonts w:ascii="Arial" w:hAnsi="Arial" w:cs="Arial"/>
          <w:sz w:val="17"/>
          <w:szCs w:val="17"/>
        </w:rPr>
        <w:t xml:space="preserve"> O prazo máximo para manipulação e entrega dos medicamentos será de até 10 (dez) dias corridos, contados a partir do recebimento da Solicitação de Fornecimento, salvo quando a decisão judicial estabelecer prazo diverso, hipótese em que este deverá ser rigorosamente cumprido.</w:t>
      </w:r>
    </w:p>
    <w:p w14:paraId="5E86BEE2">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6.4.</w:t>
      </w:r>
      <w:r>
        <w:rPr>
          <w:rFonts w:ascii="Arial" w:hAnsi="Arial" w:cs="Arial"/>
          <w:sz w:val="17"/>
          <w:szCs w:val="17"/>
        </w:rPr>
        <w:t xml:space="preserve"> Caso não seja possível o fornecimento no prazo estabelecido, a Contratada deverá comunicar formalmente à Administração, apresentando justificativa fundamentada, no prazo mínimo de 02 (dois) dias antes do término do prazo, para análise e eventual autorização de prorrogação, sem prejuízo das sanções cabíveis.</w:t>
      </w:r>
    </w:p>
    <w:p w14:paraId="797AF69F">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6.5.</w:t>
      </w:r>
      <w:r>
        <w:rPr>
          <w:rFonts w:ascii="Arial" w:hAnsi="Arial" w:cs="Arial"/>
          <w:sz w:val="17"/>
          <w:szCs w:val="17"/>
        </w:rPr>
        <w:t xml:space="preserve"> Os medicamentos manipulados entregues que não atenderem às especificações técnicas, prescrições médicas, condições de qualidade, rotulagem, validade ou demais requisitos previstos neste Termo de Referência não serão aceitos, devendo ser substituídos pela Contratada no prazo máximo de 05 (cinco) dias, sem ônus adicional para a Administração.</w:t>
      </w:r>
    </w:p>
    <w:p w14:paraId="060711F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6.6.</w:t>
      </w:r>
      <w:r>
        <w:rPr>
          <w:rFonts w:ascii="Arial" w:hAnsi="Arial" w:cs="Arial"/>
          <w:sz w:val="17"/>
          <w:szCs w:val="17"/>
        </w:rPr>
        <w:t xml:space="preserve"> A entrega deverá ser acompanhada da respectiva nota fiscal, devidamente atestada, bem como de documentos que comprovem a regularidade sanitária da empresa e a observância das Boas Práticas de Manipulação, conforme normas da ANVISA.</w:t>
      </w:r>
    </w:p>
    <w:p w14:paraId="73E09F05">
      <w:pPr>
        <w:keepNext w:val="0"/>
        <w:keepLines w:val="0"/>
        <w:pageBreakBefore w:val="0"/>
        <w:widowControl/>
        <w:kinsoku/>
        <w:wordWrap/>
        <w:overflowPunct/>
        <w:topLinePunct w:val="0"/>
        <w:bidi w:val="0"/>
        <w:snapToGrid/>
        <w:spacing w:beforeAutospacing="0" w:afterAutospacing="0" w:line="240" w:lineRule="auto"/>
        <w:ind w:left="0"/>
        <w:textAlignment w:val="auto"/>
        <w:rPr>
          <w:rFonts w:ascii="Arial" w:hAnsi="Arial" w:cs="Arial"/>
          <w:sz w:val="17"/>
          <w:szCs w:val="17"/>
        </w:rPr>
      </w:pPr>
      <w:r>
        <w:rPr>
          <w:rFonts w:ascii="Arial" w:hAnsi="Arial" w:cs="Arial"/>
          <w:b/>
          <w:bCs/>
          <w:sz w:val="17"/>
          <w:szCs w:val="17"/>
        </w:rPr>
        <w:t>6.7.</w:t>
      </w:r>
      <w:r>
        <w:rPr>
          <w:rFonts w:ascii="Arial" w:hAnsi="Arial" w:cs="Arial"/>
          <w:sz w:val="17"/>
          <w:szCs w:val="17"/>
        </w:rPr>
        <w:t xml:space="preserve"> As entregas deverão ocorrer no horário compreendido entre 07h00 e 16h00, exclusivamente em dias úteis, no local indicado pela Secretaria Municipal de Saúde, salvo autorização expressa da Administração.</w:t>
      </w:r>
      <w:r>
        <w:rPr>
          <w:rFonts w:ascii="Arial" w:hAnsi="Arial" w:cs="Arial"/>
          <w:sz w:val="17"/>
          <w:szCs w:val="17"/>
        </w:rPr>
        <w:br w:type="textWrapping"/>
      </w:r>
      <w:r>
        <w:rPr>
          <w:rFonts w:ascii="Arial" w:hAnsi="Arial" w:cs="Arial"/>
          <w:sz w:val="17"/>
          <w:szCs w:val="17"/>
        </w:rPr>
        <w:t>Rua: José Gustavo Cohen, nº 70, Bairro Vila Tereza, Cataguases – MG, CEP: 36.772-014.</w:t>
      </w:r>
    </w:p>
    <w:p w14:paraId="198AACEF">
      <w:pPr>
        <w:keepNext w:val="0"/>
        <w:keepLines w:val="0"/>
        <w:pageBreakBefore w:val="0"/>
        <w:widowControl/>
        <w:kinsoku/>
        <w:wordWrap/>
        <w:overflowPunct/>
        <w:topLinePunct w:val="0"/>
        <w:bidi w:val="0"/>
        <w:snapToGrid/>
        <w:spacing w:beforeAutospacing="0" w:afterAutospacing="0" w:line="240" w:lineRule="auto"/>
        <w:ind w:left="0"/>
        <w:textAlignment w:val="auto"/>
        <w:rPr>
          <w:rFonts w:ascii="Arial" w:hAnsi="Arial" w:cs="Arial"/>
          <w:sz w:val="17"/>
          <w:szCs w:val="17"/>
        </w:rPr>
      </w:pPr>
    </w:p>
    <w:p w14:paraId="6D94D4D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7.  MODELO DE GESTÃO DO CONTRATO</w:t>
      </w:r>
    </w:p>
    <w:p w14:paraId="07CFFE3A">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7.1.Das Obrigações da Contratada</w:t>
      </w:r>
    </w:p>
    <w:p w14:paraId="2CA27342">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7.1.1.</w:t>
      </w:r>
      <w:r>
        <w:rPr>
          <w:rFonts w:ascii="Arial" w:hAnsi="Arial" w:cs="Arial"/>
          <w:sz w:val="17"/>
          <w:szCs w:val="17"/>
        </w:rPr>
        <w:t xml:space="preserve"> A CONTRATADA deverá manipular e entregar os medicamentos no local indicado, no prazo de até 10 (dez) dias corridos contados a partir do recebimento da Solicitação de Fornecimento, observadas as especificações constantes na prescrição médica e/ou decisão judicial.</w:t>
      </w:r>
    </w:p>
    <w:p w14:paraId="42B9B0D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7.1.2.</w:t>
      </w:r>
      <w:r>
        <w:rPr>
          <w:rFonts w:ascii="Arial" w:hAnsi="Arial" w:cs="Arial"/>
          <w:sz w:val="17"/>
          <w:szCs w:val="17"/>
        </w:rPr>
        <w:t xml:space="preserve"> A CONTRATADA deverá fornecer os medicamentos manipulados conforme a descrição detalhada da fórmula, respeitando rigorosamente os princípios ativos, concentrações, forma farmacêutica e demais especificações técnicas.</w:t>
      </w:r>
    </w:p>
    <w:p w14:paraId="1812DDF2">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sz w:val="17"/>
          <w:szCs w:val="17"/>
        </w:rPr>
      </w:pPr>
      <w:r>
        <w:rPr>
          <w:rFonts w:ascii="Arial" w:hAnsi="Arial" w:cs="Arial"/>
          <w:b/>
          <w:bCs/>
          <w:sz w:val="17"/>
          <w:szCs w:val="17"/>
        </w:rPr>
        <w:t>7.1.3.</w:t>
      </w:r>
      <w:r>
        <w:rPr>
          <w:rFonts w:ascii="Arial" w:hAnsi="Arial" w:cs="Arial"/>
          <w:sz w:val="17"/>
          <w:szCs w:val="17"/>
        </w:rPr>
        <w:t xml:space="preserve"> O recebimento definitivo não exime a Contratada de suas responsabilidades, nem afasta o direito da Administração de rejeitar, no todo ou em parte, os medicamentos que apresentem vícios, defeitos ou desconformidades com as especificações estabelecidas.</w:t>
      </w:r>
    </w:p>
    <w:p w14:paraId="12C2A0C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7.1.4.</w:t>
      </w:r>
      <w:r>
        <w:rPr>
          <w:rFonts w:ascii="Arial" w:hAnsi="Arial" w:cs="Arial"/>
          <w:sz w:val="17"/>
          <w:szCs w:val="17"/>
        </w:rPr>
        <w:t xml:space="preserve"> A contratada deverá arcar com todos os ônus referentes à manipulação, transporte e entrega dos medicamentos.</w:t>
      </w:r>
    </w:p>
    <w:p w14:paraId="1D89B432">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7.1.5.</w:t>
      </w:r>
      <w:r>
        <w:rPr>
          <w:rFonts w:ascii="Arial" w:hAnsi="Arial" w:cs="Arial"/>
          <w:sz w:val="17"/>
          <w:szCs w:val="17"/>
        </w:rPr>
        <w:t xml:space="preserve"> A contratada deverá prestar informações e esclarecimentos que venham a ser solicitados pela contratante, especialmente quanto aos processos de manipulação e controle de qualidade.</w:t>
      </w:r>
    </w:p>
    <w:p w14:paraId="1D6196D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7.1.6.</w:t>
      </w:r>
      <w:r>
        <w:rPr>
          <w:rFonts w:ascii="Arial" w:hAnsi="Arial" w:cs="Arial"/>
          <w:sz w:val="17"/>
          <w:szCs w:val="17"/>
        </w:rPr>
        <w:t xml:space="preserve"> Assumir a responsabilidade pelos encargos fiscais e comerciais resultantes da adjudicação desta licitação.</w:t>
      </w:r>
    </w:p>
    <w:p w14:paraId="5A437B2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7.1.7.</w:t>
      </w:r>
      <w:r>
        <w:rPr>
          <w:rFonts w:ascii="Arial" w:hAnsi="Arial" w:cs="Arial"/>
          <w:sz w:val="17"/>
          <w:szCs w:val="17"/>
        </w:rPr>
        <w:t xml:space="preserve"> Submeter-se à fiscalização da contratante, bem como aos órgãos de vigilância sanitária, permitindo o acompanhamento das condições de manipulação, armazenamento e transporte, garantindo o cumprimento das normas sanitárias vigentes.</w:t>
      </w:r>
    </w:p>
    <w:p w14:paraId="2571D50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7.1.8.</w:t>
      </w:r>
      <w:r>
        <w:rPr>
          <w:rFonts w:ascii="Arial" w:hAnsi="Arial" w:cs="Arial"/>
          <w:sz w:val="17"/>
          <w:szCs w:val="17"/>
        </w:rPr>
        <w:t xml:space="preserve"> Reparar, corrigir, refazer ou substituir, às suas expensas, no todo ou em parte, os medicamentos manipulados em que se verificarem vícios, defeitos, incorreções ou divergências em relação à prescrição.</w:t>
      </w:r>
    </w:p>
    <w:p w14:paraId="1709FCC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7.1.9.</w:t>
      </w:r>
      <w:r>
        <w:rPr>
          <w:rFonts w:ascii="Arial" w:hAnsi="Arial" w:cs="Arial"/>
          <w:sz w:val="17"/>
          <w:szCs w:val="17"/>
        </w:rPr>
        <w:t xml:space="preserve"> Manter, durante toda a vigência do contrato, todas as condições de habilitação e qualificação exigidas, especialmente as relativas à regularidade sanitária e autorização de funcionamento.</w:t>
      </w:r>
    </w:p>
    <w:p w14:paraId="72B1C3FA">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7.1.10.</w:t>
      </w:r>
      <w:r>
        <w:rPr>
          <w:rFonts w:ascii="Arial" w:hAnsi="Arial" w:cs="Arial"/>
          <w:sz w:val="17"/>
          <w:szCs w:val="17"/>
        </w:rPr>
        <w:t xml:space="preserve"> Efetuar a entrega dos medicamentos em perfeitas condições, conforme especificações, devidamente identificados e rotulados, acompanhados da respectiva nota fiscal, contendo informações como composição, concentração, lote, data de manipulação e prazo de validade.</w:t>
      </w:r>
    </w:p>
    <w:p w14:paraId="2EB943E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7.1.11.</w:t>
      </w:r>
      <w:r>
        <w:rPr>
          <w:rFonts w:ascii="Arial" w:hAnsi="Arial" w:cs="Arial"/>
          <w:sz w:val="17"/>
          <w:szCs w:val="17"/>
        </w:rPr>
        <w:t xml:space="preserve"> Comunicar à CONTRATANTE qualquer anormalidade de caráter urgente relacionada à manipulação ou fornecimento, prestando os esclarecimentos necessários.</w:t>
      </w:r>
    </w:p>
    <w:p w14:paraId="4C6728A5">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7.1.12.</w:t>
      </w:r>
      <w:r>
        <w:rPr>
          <w:rFonts w:ascii="Arial" w:hAnsi="Arial" w:cs="Arial"/>
          <w:sz w:val="17"/>
          <w:szCs w:val="17"/>
        </w:rPr>
        <w:t xml:space="preserve"> Deverá constar na Nota Fiscal o número da Solicitação de Fornecimento ou número do empenho correspondente.</w:t>
      </w:r>
    </w:p>
    <w:p w14:paraId="7076252B">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 xml:space="preserve">7.2.  </w:t>
      </w:r>
      <w:r>
        <w:rPr>
          <w:rFonts w:ascii="Arial" w:hAnsi="Arial" w:cs="Arial"/>
          <w:b/>
          <w:sz w:val="17"/>
          <w:szCs w:val="17"/>
        </w:rPr>
        <w:tab/>
      </w:r>
      <w:r>
        <w:rPr>
          <w:rFonts w:ascii="Arial" w:hAnsi="Arial" w:cs="Arial"/>
          <w:b/>
          <w:sz w:val="17"/>
          <w:szCs w:val="17"/>
        </w:rPr>
        <w:t>Das Obrigações da Contratante</w:t>
      </w:r>
    </w:p>
    <w:p w14:paraId="124AD18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7.2.1.</w:t>
      </w:r>
      <w:r>
        <w:rPr>
          <w:rFonts w:ascii="Arial" w:hAnsi="Arial" w:cs="Arial"/>
          <w:sz w:val="17"/>
          <w:szCs w:val="17"/>
        </w:rPr>
        <w:t xml:space="preserve"> Promover o acompanhamento e a fiscalização da entrega do objeto da aquisição.</w:t>
      </w:r>
    </w:p>
    <w:p w14:paraId="687DF531">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7.2.2.</w:t>
      </w:r>
      <w:r>
        <w:rPr>
          <w:rFonts w:ascii="Arial" w:hAnsi="Arial" w:cs="Arial"/>
          <w:sz w:val="17"/>
          <w:szCs w:val="17"/>
        </w:rPr>
        <w:t xml:space="preserve"> Prestar informações, relativas ao objeto da aquisição, que venham a ser solicitadas pela licitante vencedora.</w:t>
      </w:r>
    </w:p>
    <w:p w14:paraId="1F57C7A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7.2.3.</w:t>
      </w:r>
      <w:r>
        <w:rPr>
          <w:rFonts w:ascii="Arial" w:hAnsi="Arial" w:cs="Arial"/>
          <w:sz w:val="17"/>
          <w:szCs w:val="17"/>
        </w:rPr>
        <w:t xml:space="preserve"> Efetuar o pagamento do valor constante na nota fiscal/fatura, em até 30 (trinta) dias consecutivos após o recebimento da mesma, devidamente atestada.</w:t>
      </w:r>
    </w:p>
    <w:p w14:paraId="62A935B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7.2.4.</w:t>
      </w:r>
      <w:r>
        <w:rPr>
          <w:rFonts w:ascii="Arial" w:hAnsi="Arial" w:cs="Arial"/>
          <w:sz w:val="17"/>
          <w:szCs w:val="17"/>
        </w:rPr>
        <w:t xml:space="preserve"> Rejeitar o (s) produto (s) e/ou que não satisfizerem aos padrões exigidos nas especificações e recomendações da contratante.</w:t>
      </w:r>
    </w:p>
    <w:p w14:paraId="38FCD540">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7.2.5.</w:t>
      </w:r>
      <w:r>
        <w:rPr>
          <w:rFonts w:ascii="Arial" w:hAnsi="Arial" w:cs="Arial"/>
          <w:sz w:val="17"/>
          <w:szCs w:val="17"/>
        </w:rPr>
        <w:t xml:space="preserve"> Notificar a CONTRATADA, por escrito, quando não efetuar a entrega dos itens, após 15 (quinze) dias corridos da emissão da Solicitação de Fornecimento.</w:t>
      </w:r>
    </w:p>
    <w:p w14:paraId="56E5C1F7">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7.2.6.</w:t>
      </w:r>
      <w:r>
        <w:rPr>
          <w:rFonts w:ascii="Arial" w:hAnsi="Arial" w:cs="Arial"/>
          <w:sz w:val="17"/>
          <w:szCs w:val="17"/>
        </w:rPr>
        <w:t xml:space="preserve"> Notificar a CONTRATADA, por escrito, de quaisquer irregularidades que venham a ocorrer, em função da prestação do objeto do contrato.</w:t>
      </w:r>
    </w:p>
    <w:p w14:paraId="71D94560">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7.2.7.</w:t>
      </w:r>
      <w:r>
        <w:rPr>
          <w:rFonts w:ascii="Arial" w:hAnsi="Arial" w:cs="Arial"/>
          <w:sz w:val="17"/>
          <w:szCs w:val="17"/>
        </w:rPr>
        <w:t xml:space="preserve"> Cumprir e fazer-se cumprir o disposto nas cláusulas deste Termo de Referência.</w:t>
      </w:r>
    </w:p>
    <w:p w14:paraId="3E87EA15">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7.2.8.</w:t>
      </w:r>
      <w:r>
        <w:rPr>
          <w:rFonts w:ascii="Arial" w:hAnsi="Arial" w:cs="Arial"/>
          <w:sz w:val="17"/>
          <w:szCs w:val="17"/>
        </w:rPr>
        <w:t xml:space="preserve"> Fornecer todos os elementos básicos e dados complementares à execução dos serviços ora licitados.</w:t>
      </w:r>
    </w:p>
    <w:p w14:paraId="305BE3E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3B12018E">
      <w:pPr>
        <w:keepNext w:val="0"/>
        <w:keepLines w:val="0"/>
        <w:pageBreakBefore w:val="0"/>
        <w:widowControl/>
        <w:numPr>
          <w:ilvl w:val="0"/>
          <w:numId w:val="0"/>
        </w:numPr>
        <w:kinsoku/>
        <w:wordWrap/>
        <w:overflowPunct/>
        <w:topLinePunct w:val="0"/>
        <w:bidi w:val="0"/>
        <w:snapToGrid/>
        <w:spacing w:beforeAutospacing="0" w:afterAutospacing="0" w:line="240" w:lineRule="auto"/>
        <w:ind w:left="359" w:leftChars="0" w:hanging="359" w:hangingChars="211"/>
        <w:jc w:val="both"/>
        <w:textAlignment w:val="auto"/>
        <w:rPr>
          <w:rFonts w:ascii="Arial" w:hAnsi="Arial" w:cs="Arial"/>
          <w:b/>
          <w:bCs/>
          <w:sz w:val="17"/>
          <w:szCs w:val="17"/>
        </w:rPr>
      </w:pPr>
      <w:r>
        <w:rPr>
          <w:rFonts w:hint="default" w:ascii="Arial" w:hAnsi="Arial" w:cs="Arial"/>
          <w:b/>
          <w:bCs/>
          <w:sz w:val="17"/>
          <w:szCs w:val="17"/>
          <w:lang w:val="pt-BR"/>
        </w:rPr>
        <w:t xml:space="preserve">8. </w:t>
      </w:r>
      <w:r>
        <w:rPr>
          <w:rFonts w:ascii="Arial" w:hAnsi="Arial" w:cs="Arial"/>
          <w:b/>
          <w:bCs/>
          <w:sz w:val="17"/>
          <w:szCs w:val="17"/>
        </w:rPr>
        <w:t>DA FISCALIZAÇÃO DO CONTRATO</w:t>
      </w:r>
    </w:p>
    <w:p w14:paraId="6CB3A3D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8.1.</w:t>
      </w:r>
      <w:r>
        <w:rPr>
          <w:rFonts w:ascii="Arial" w:hAnsi="Arial" w:cs="Arial"/>
          <w:bCs/>
          <w:sz w:val="17"/>
          <w:szCs w:val="17"/>
        </w:rPr>
        <w:t xml:space="preserve"> A execução do contrato deverá ser acompanhada e fiscalizada pelos fiscais do contrato ou pelos respectivos substitutos que vierem a ser nomeados pela Administração, a saber:</w:t>
      </w:r>
    </w:p>
    <w:p w14:paraId="05E1FE6D">
      <w:pPr>
        <w:pStyle w:val="222"/>
        <w:keepNext w:val="0"/>
        <w:keepLines w:val="0"/>
        <w:pageBreakBefore w:val="0"/>
        <w:widowControl/>
        <w:numPr>
          <w:ilvl w:val="0"/>
          <w:numId w:val="19"/>
        </w:numPr>
        <w:kinsoku/>
        <w:wordWrap/>
        <w:overflowPunct/>
        <w:topLinePunct w:val="0"/>
        <w:bidi w:val="0"/>
        <w:snapToGrid/>
        <w:spacing w:beforeAutospacing="0" w:afterAutospacing="0" w:line="240" w:lineRule="auto"/>
        <w:ind w:left="0" w:leftChars="0" w:firstLine="0" w:firstLineChars="0"/>
        <w:jc w:val="both"/>
        <w:textAlignment w:val="auto"/>
        <w:rPr>
          <w:rFonts w:ascii="Arial" w:hAnsi="Arial" w:cs="Arial"/>
          <w:sz w:val="17"/>
          <w:szCs w:val="17"/>
        </w:rPr>
      </w:pPr>
      <w:r>
        <w:rPr>
          <w:rFonts w:ascii="Arial" w:hAnsi="Arial" w:cs="Arial"/>
          <w:sz w:val="17"/>
          <w:szCs w:val="17"/>
        </w:rPr>
        <w:t>Natália da Silva Gonçalves Samel.</w:t>
      </w:r>
    </w:p>
    <w:p w14:paraId="7D316DA7">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8.2.</w:t>
      </w:r>
      <w:r>
        <w:rPr>
          <w:rFonts w:ascii="Arial" w:hAnsi="Arial" w:cs="Arial"/>
          <w:sz w:val="17"/>
          <w:szCs w:val="17"/>
        </w:rPr>
        <w:t xml:space="preserve"> A CONTRATADA deverá permitir e facilitar, a qualquer tempo, a fiscalização do fornecimento dos medicamentos manipulados, garantindo livre acesso às informações, documentos fiscais, registros de produção e entrega, fórmulas prescritas, laudos de controle de qualidade, certificações sanitárias, licenças de funcionamento, autorizações dos órgãos competentes, prazos de validade e demais elementos relacionados ao objeto contratado, sem que isso implique transferência de responsabilidade à Administração.</w:t>
      </w:r>
    </w:p>
    <w:p w14:paraId="054D9240">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8.3.</w:t>
      </w:r>
      <w:r>
        <w:rPr>
          <w:rFonts w:ascii="Arial" w:hAnsi="Arial" w:cs="Arial"/>
          <w:sz w:val="17"/>
          <w:szCs w:val="17"/>
        </w:rPr>
        <w:t xml:space="preserve"> A fiscalização não exclui nem reduz a responsabilidade da CONTRATADA quanto à qualidade, procedência dos insumos utilizados, correta manipulação conforme prescrição médica, cumprimento das Boas Práticas de Manipulação, regularidade perante a vigilância sanitária, prazo de validade, integridade das embalagens, identificação adequada dos produtos, conformidade com as especificações técnicas e cumprimento dos prazos de entrega.</w:t>
      </w:r>
    </w:p>
    <w:p w14:paraId="14BB6CC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Compete ao gestor do contrato o controle administrativo e documental da execução, inclusive quanto às autorizações de fornecimento, saldo da ata e vigência contratual, e ao fiscal designado a verificação da conformidade dos medicamentos manipulados entregues com a Ata de Registro de Preços, contrato, edital, prescrições médicas e legislação sanitária vigente, bem como o atesto das notas fiscais correspondentes.</w:t>
      </w:r>
    </w:p>
    <w:p w14:paraId="30EA6670">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8.4.</w:t>
      </w:r>
      <w:r>
        <w:rPr>
          <w:rFonts w:ascii="Arial" w:hAnsi="Arial" w:cs="Arial"/>
          <w:sz w:val="17"/>
          <w:szCs w:val="17"/>
        </w:rPr>
        <w:t xml:space="preserve"> O fiscal do contrato deverá registrar todas as ocorrências relevantes relacionadas à execução contratual, especialmente quanto a atrasos na entrega, fornecimento de medicamentos em desacordo com as prescrições médicas, divergências de quantitativos, prazos de validade insuficientes, falhas na rotulagem, ausência de documentação sanitária obrigatória ou qualquer irregularidade na manipulação, adotando as providências necessárias à correção das falhas e comunicando a autoridade competente sempre que necessário.</w:t>
      </w:r>
    </w:p>
    <w:p w14:paraId="0C52CC6C">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A fiscalização exercida pela Administração não exime a CONTRATADA de suas responsabilidades legais e contratuais, nem implica corresponsabilidade da Administração Pública, nos termos da Lei Federal nº 14.133/2021.</w:t>
      </w:r>
    </w:p>
    <w:p w14:paraId="2523A02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609ECD4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9. RESPONSÁVEL PELA COTAÇÃO DE PREÇOS</w:t>
      </w:r>
    </w:p>
    <w:p w14:paraId="7DE82212">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9.1. Cotação de Preços</w:t>
      </w:r>
      <w:r>
        <w:rPr>
          <w:rFonts w:hint="default" w:ascii="Arial" w:hAnsi="Arial" w:cs="Arial"/>
          <w:b/>
          <w:sz w:val="17"/>
          <w:szCs w:val="17"/>
          <w:lang w:val="pt-BR"/>
        </w:rPr>
        <w:t xml:space="preserve">: </w:t>
      </w:r>
      <w:r>
        <w:rPr>
          <w:rFonts w:ascii="Arial" w:hAnsi="Arial" w:cs="Arial"/>
          <w:sz w:val="17"/>
          <w:szCs w:val="17"/>
        </w:rPr>
        <w:t>Clélio Nunes Simões.</w:t>
      </w:r>
    </w:p>
    <w:p w14:paraId="316D0DC5">
      <w:pPr>
        <w:keepNext w:val="0"/>
        <w:keepLines w:val="0"/>
        <w:pageBreakBefore w:val="0"/>
        <w:widowControl/>
        <w:numPr>
          <w:ilvl w:val="0"/>
          <w:numId w:val="0"/>
        </w:numPr>
        <w:kinsoku/>
        <w:wordWrap/>
        <w:overflowPunct/>
        <w:topLinePunct w:val="0"/>
        <w:bidi w:val="0"/>
        <w:snapToGrid/>
        <w:spacing w:beforeAutospacing="0" w:afterAutospacing="0" w:line="240" w:lineRule="auto"/>
        <w:ind w:left="0" w:leftChars="0" w:firstLine="0" w:firstLineChars="0"/>
        <w:jc w:val="both"/>
        <w:textAlignment w:val="auto"/>
        <w:rPr>
          <w:rFonts w:ascii="Arial" w:hAnsi="Arial" w:cs="Arial"/>
          <w:sz w:val="17"/>
          <w:szCs w:val="17"/>
        </w:rPr>
      </w:pPr>
    </w:p>
    <w:p w14:paraId="0EE0B3E2">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10. CRITÉRIOS DE MEDIÇÃO E PAGAMENTO</w:t>
      </w:r>
    </w:p>
    <w:p w14:paraId="46D672B7">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10.1. Recebimento</w:t>
      </w:r>
    </w:p>
    <w:p w14:paraId="08C56D8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10.1.1.</w:t>
      </w:r>
      <w:r>
        <w:rPr>
          <w:rFonts w:ascii="Arial" w:hAnsi="Arial" w:cs="Arial"/>
          <w:bCs/>
          <w:sz w:val="17"/>
          <w:szCs w:val="17"/>
        </w:rPr>
        <w:t xml:space="preserve"> Os itens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38861C6">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bCs/>
          <w:sz w:val="17"/>
          <w:szCs w:val="17"/>
        </w:rPr>
        <w:t>10.</w:t>
      </w:r>
      <w:r>
        <w:rPr>
          <w:rFonts w:ascii="Arial" w:hAnsi="Arial" w:cs="Arial"/>
          <w:b/>
          <w:sz w:val="17"/>
          <w:szCs w:val="17"/>
        </w:rPr>
        <w:t>1.2.</w:t>
      </w:r>
      <w:r>
        <w:rPr>
          <w:rFonts w:ascii="Arial" w:hAnsi="Arial" w:cs="Arial"/>
          <w:sz w:val="17"/>
          <w:szCs w:val="17"/>
        </w:rPr>
        <w:t xml:space="preserve"> O fornecimento do objeto será de forma parcelada.</w:t>
      </w:r>
    </w:p>
    <w:p w14:paraId="7AA658AD">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10.2. Liquidação</w:t>
      </w:r>
    </w:p>
    <w:p w14:paraId="306BDCE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10.2.1.</w:t>
      </w:r>
      <w:r>
        <w:rPr>
          <w:rFonts w:ascii="Arial" w:hAnsi="Arial" w:cs="Arial"/>
          <w:sz w:val="17"/>
          <w:szCs w:val="17"/>
        </w:rPr>
        <w:t xml:space="preserve"> Quando for constatada qualquer irregularidade na Nota Fiscal, será imediatamente solicitada à empresa adjudicatária carta de correção quando couber, ou ainda pertinente regularização, que deverá ser encaminhada no prazo máximo de 02 dias úteis.</w:t>
      </w:r>
    </w:p>
    <w:p w14:paraId="05F32192">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10.2.2.</w:t>
      </w:r>
      <w:r>
        <w:rPr>
          <w:rFonts w:ascii="Arial" w:hAnsi="Arial" w:cs="Arial"/>
          <w:sz w:val="17"/>
          <w:szCs w:val="17"/>
        </w:rPr>
        <w:t xml:space="preserve"> Caso a contratada não apresente carta de correção no prazo estipulado, o prazo para pagamento será recontado, a partir da data de sua apresentação.</w:t>
      </w:r>
    </w:p>
    <w:p w14:paraId="5D2B951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10.3. Pagamento</w:t>
      </w:r>
    </w:p>
    <w:p w14:paraId="448B974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10.3.1.</w:t>
      </w:r>
      <w:r>
        <w:rPr>
          <w:rFonts w:ascii="Arial" w:hAnsi="Arial" w:cs="Arial"/>
          <w:sz w:val="17"/>
          <w:szCs w:val="17"/>
        </w:rPr>
        <w:t xml:space="preserve"> O pagamento do objeto deste termo será efetuado em moeda corrente, através de ordem bancária, sem juros e atualização monetária, até 30 dias após a apresentação de Nota Fiscal.</w:t>
      </w:r>
    </w:p>
    <w:p w14:paraId="672A8CC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2B86FC8B">
      <w:pPr>
        <w:spacing w:line="276" w:lineRule="auto"/>
        <w:jc w:val="both"/>
        <w:rPr>
          <w:rFonts w:hint="default" w:ascii="Arial" w:hAnsi="Arial" w:cs="Arial"/>
          <w:b/>
          <w:bCs/>
          <w:sz w:val="17"/>
          <w:szCs w:val="17"/>
          <w:lang w:val="pt-BR"/>
        </w:rPr>
      </w:pPr>
      <w:r>
        <w:rPr>
          <w:rFonts w:hint="default" w:ascii="Arial" w:hAnsi="Arial" w:cs="Arial"/>
          <w:b/>
          <w:bCs/>
          <w:sz w:val="17"/>
          <w:szCs w:val="17"/>
          <w:lang w:val="pt-BR"/>
        </w:rPr>
        <w:t>10.4 Reajuste</w:t>
      </w:r>
    </w:p>
    <w:p w14:paraId="15008140">
      <w:pPr>
        <w:spacing w:line="276" w:lineRule="auto"/>
        <w:jc w:val="both"/>
        <w:rPr>
          <w:rFonts w:hint="default" w:ascii="Arial" w:hAnsi="Arial" w:cs="Arial"/>
          <w:sz w:val="17"/>
          <w:szCs w:val="17"/>
          <w:lang w:val="pt-BR"/>
        </w:rPr>
      </w:pPr>
      <w:r>
        <w:rPr>
          <w:rFonts w:hint="default" w:ascii="Arial" w:hAnsi="Arial" w:cs="Arial"/>
          <w:sz w:val="17"/>
          <w:szCs w:val="17"/>
          <w:lang w:val="pt-BR"/>
        </w:rPr>
        <w:t>10.4.1 Os preços registrados poderão ser reajustados após o interregno mínimo de 12 (doze) meses, contados da data do orçamento estimado, com base na variação do Índice Nacional de Preços ao Consumidor Amplo - IPCA/IBGE, ou outro índice que venha a substituí-lo, mediante solicitação da contratada e análise da Administração, conforme disposto na Lei n° 14.133/2021</w:t>
      </w:r>
    </w:p>
    <w:p w14:paraId="5012067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61E426D5">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sz w:val="17"/>
          <w:szCs w:val="17"/>
        </w:rPr>
        <w:t>11.</w:t>
      </w:r>
      <w:r>
        <w:rPr>
          <w:rFonts w:ascii="Arial" w:hAnsi="Arial" w:cs="Arial"/>
          <w:b/>
          <w:bCs/>
          <w:sz w:val="17"/>
          <w:szCs w:val="17"/>
        </w:rPr>
        <w:t xml:space="preserve"> FORMA E CRITÉRIOS DE SELEÇÃO DO FORNECEDOR</w:t>
      </w:r>
    </w:p>
    <w:p w14:paraId="228D0D8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11.1.</w:t>
      </w:r>
      <w:r>
        <w:rPr>
          <w:rFonts w:ascii="Arial" w:hAnsi="Arial" w:cs="Arial"/>
          <w:bCs/>
          <w:sz w:val="17"/>
          <w:szCs w:val="17"/>
        </w:rPr>
        <w:t xml:space="preserve"> O fornecedor será selecionado por meio da realização de procedimento de LICITAÇÃO, na modalidade PREGÃO, (Lei 14.133/2021), para REGISTRO DE PREÇOS, sob a forma ELETRÔNICA, com adoção do critério de julgamento pelo MENOR PREÇO POR ITEM, de forma parcelada, com base nos parâmetros da Lei 14.133/2021.</w:t>
      </w:r>
    </w:p>
    <w:p w14:paraId="5EA0E29B">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11.2. Da Habilitação Jurídica, Fiscal, Social, Trabalhista e Econômico-financeira</w:t>
      </w:r>
    </w:p>
    <w:p w14:paraId="67E16F4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11.2.1.</w:t>
      </w:r>
      <w:r>
        <w:rPr>
          <w:rFonts w:ascii="Arial" w:hAnsi="Arial" w:cs="Arial"/>
          <w:sz w:val="17"/>
          <w:szCs w:val="17"/>
        </w:rPr>
        <w:t xml:space="preserve"> Os documentos necessários para habilitação do fornecedor se encontrarão descritos em tópico específico contido no edital.</w:t>
      </w:r>
    </w:p>
    <w:p w14:paraId="46A6E49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11.3. Qualificação Técnica</w:t>
      </w:r>
    </w:p>
    <w:p w14:paraId="3A75783E">
      <w:pPr>
        <w:tabs>
          <w:tab w:val="left" w:pos="3115"/>
        </w:tabs>
        <w:jc w:val="both"/>
        <w:rPr>
          <w:rFonts w:ascii="Arial" w:hAnsi="Arial" w:eastAsia="Times New Roman" w:cs="Arial"/>
          <w:sz w:val="17"/>
          <w:szCs w:val="17"/>
        </w:rPr>
      </w:pPr>
      <w:r>
        <w:rPr>
          <w:rFonts w:ascii="Arial" w:hAnsi="Arial" w:eastAsia="Times New Roman" w:cs="Arial"/>
          <w:b/>
          <w:bCs/>
          <w:sz w:val="17"/>
          <w:szCs w:val="17"/>
        </w:rPr>
        <w:t>11.3.1.</w:t>
      </w:r>
      <w:r>
        <w:rPr>
          <w:rFonts w:ascii="Arial" w:hAnsi="Arial" w:eastAsia="Times New Roman" w:cs="Arial"/>
          <w:sz w:val="17"/>
          <w:szCs w:val="17"/>
        </w:rPr>
        <w:t xml:space="preserve"> Comprovação de aptidão para o fornecimento de bens similares de complexidade tecnológica e operacional equivalente ou superior com o objeto, ou com o item pertinente, por meio da apresentação de certidões ou atestados, por pessoas jurídicas de direito público ou privado.</w:t>
      </w:r>
    </w:p>
    <w:p w14:paraId="66415F1F">
      <w:pPr>
        <w:tabs>
          <w:tab w:val="left" w:pos="3115"/>
        </w:tabs>
        <w:jc w:val="both"/>
        <w:rPr>
          <w:rFonts w:ascii="Arial" w:hAnsi="Arial" w:eastAsia="Times New Roman" w:cs="Arial"/>
          <w:sz w:val="17"/>
          <w:szCs w:val="17"/>
        </w:rPr>
      </w:pPr>
      <w:r>
        <w:rPr>
          <w:rFonts w:ascii="Arial" w:hAnsi="Arial" w:eastAsia="Times New Roman" w:cs="Arial"/>
          <w:b/>
          <w:bCs/>
          <w:sz w:val="17"/>
          <w:szCs w:val="17"/>
        </w:rPr>
        <w:t>11.3.2.</w:t>
      </w:r>
      <w:r>
        <w:rPr>
          <w:rFonts w:ascii="Arial" w:hAnsi="Arial" w:eastAsia="Times New Roman" w:cs="Arial"/>
          <w:sz w:val="17"/>
          <w:szCs w:val="17"/>
        </w:rPr>
        <w:t xml:space="preserve"> Os atestados de capacidade técnica poderão ser apresentados em nome da matriz ou da filial do fornecedor.</w:t>
      </w:r>
    </w:p>
    <w:p w14:paraId="3CEA3DFD">
      <w:pPr>
        <w:tabs>
          <w:tab w:val="left" w:pos="3115"/>
        </w:tabs>
        <w:jc w:val="both"/>
        <w:rPr>
          <w:rFonts w:ascii="Arial" w:hAnsi="Arial" w:eastAsia="Times New Roman" w:cs="Arial"/>
          <w:sz w:val="17"/>
          <w:szCs w:val="17"/>
        </w:rPr>
      </w:pPr>
      <w:r>
        <w:rPr>
          <w:rFonts w:ascii="Arial" w:hAnsi="Arial" w:eastAsia="Times New Roman" w:cs="Arial"/>
          <w:b/>
          <w:bCs/>
          <w:sz w:val="17"/>
          <w:szCs w:val="17"/>
        </w:rPr>
        <w:t>11.3.3.</w:t>
      </w:r>
      <w:r>
        <w:rPr>
          <w:rFonts w:ascii="Arial" w:hAnsi="Arial" w:eastAsia="Times New Roman" w:cs="Arial"/>
          <w:sz w:val="17"/>
          <w:szCs w:val="17"/>
        </w:rPr>
        <w:t xml:space="preserve"> Deverão ainda ser apresentadas:</w:t>
      </w:r>
      <w:r>
        <w:rPr>
          <w:rFonts w:ascii="Arial" w:hAnsi="Arial" w:eastAsia="Times New Roman" w:cs="Arial"/>
          <w:sz w:val="17"/>
          <w:szCs w:val="17"/>
        </w:rPr>
        <w:br w:type="textWrapping"/>
      </w:r>
      <w:r>
        <w:rPr>
          <w:rFonts w:ascii="Arial" w:hAnsi="Arial" w:eastAsia="Times New Roman" w:cs="Arial"/>
          <w:sz w:val="17"/>
          <w:szCs w:val="17"/>
        </w:rPr>
        <w:t>a) Licença Sanitária expedida pelo órgão competente, em plena vigência;</w:t>
      </w:r>
      <w:r>
        <w:rPr>
          <w:rFonts w:ascii="Arial" w:hAnsi="Arial" w:eastAsia="Times New Roman" w:cs="Arial"/>
          <w:sz w:val="17"/>
          <w:szCs w:val="17"/>
        </w:rPr>
        <w:br w:type="textWrapping"/>
      </w:r>
      <w:r>
        <w:rPr>
          <w:rFonts w:ascii="Arial" w:hAnsi="Arial" w:eastAsia="Times New Roman" w:cs="Arial"/>
          <w:sz w:val="17"/>
          <w:szCs w:val="17"/>
        </w:rPr>
        <w:t>b) Alvará de Localização expedido pelo Município da empresa;</w:t>
      </w:r>
      <w:r>
        <w:rPr>
          <w:rFonts w:ascii="Arial" w:hAnsi="Arial" w:eastAsia="Times New Roman" w:cs="Arial"/>
          <w:sz w:val="17"/>
          <w:szCs w:val="17"/>
        </w:rPr>
        <w:br w:type="textWrapping"/>
      </w:r>
      <w:r>
        <w:rPr>
          <w:rFonts w:ascii="Arial" w:hAnsi="Arial" w:eastAsia="Times New Roman" w:cs="Arial"/>
          <w:sz w:val="17"/>
          <w:szCs w:val="17"/>
        </w:rPr>
        <w:t>c) Autorização de Funcionamento de Empresa (AFE) expedida pela Agência Nacional de Vigilância Sanitária (ANVISA), devidamente atualizada;</w:t>
      </w:r>
      <w:r>
        <w:rPr>
          <w:rFonts w:ascii="Arial" w:hAnsi="Arial" w:eastAsia="Times New Roman" w:cs="Arial"/>
          <w:sz w:val="17"/>
          <w:szCs w:val="17"/>
        </w:rPr>
        <w:br w:type="textWrapping"/>
      </w:r>
      <w:r>
        <w:rPr>
          <w:rFonts w:ascii="Arial" w:hAnsi="Arial" w:eastAsia="Times New Roman" w:cs="Arial"/>
          <w:sz w:val="17"/>
          <w:szCs w:val="17"/>
        </w:rPr>
        <w:t>d) Autorização de Funcionamento Especial (AE) expedida pela Agência Nacional de Vigilância Sanitária (ANVISA), devidamente atualizada.</w:t>
      </w:r>
    </w:p>
    <w:p w14:paraId="73680862">
      <w:pPr>
        <w:tabs>
          <w:tab w:val="left" w:pos="3115"/>
        </w:tabs>
        <w:jc w:val="both"/>
        <w:rPr>
          <w:rFonts w:ascii="Arial" w:hAnsi="Arial" w:eastAsia="Times New Roman" w:cs="Arial"/>
          <w:sz w:val="17"/>
          <w:szCs w:val="17"/>
        </w:rPr>
      </w:pPr>
      <w:r>
        <w:rPr>
          <w:rFonts w:ascii="Arial" w:hAnsi="Arial" w:eastAsia="Times New Roman" w:cs="Arial"/>
          <w:b/>
          <w:bCs/>
          <w:sz w:val="17"/>
          <w:szCs w:val="17"/>
        </w:rPr>
        <w:t>11.3.3.1.</w:t>
      </w:r>
      <w:r>
        <w:rPr>
          <w:rFonts w:ascii="Arial" w:hAnsi="Arial" w:eastAsia="Times New Roman" w:cs="Arial"/>
          <w:sz w:val="17"/>
          <w:szCs w:val="17"/>
        </w:rPr>
        <w:t xml:space="preserve"> As empresas que não exerçam atividades sujeitas à Autorização de Funcionamento (AFE) ou Autorização Especial (AE) deverão apresentar declaração de inexistência de obrigatoriedade (cujo modelo encontra-se em anexo), acompanhada da respectiva fundamentação legal.</w:t>
      </w:r>
    </w:p>
    <w:p w14:paraId="49CD009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p>
    <w:p w14:paraId="32F32075">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 xml:space="preserve">12. ESTIMATIVAS DO VALOR DA CONTRATAÇÃO </w:t>
      </w:r>
    </w:p>
    <w:p w14:paraId="7137F6A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sz w:val="17"/>
          <w:szCs w:val="17"/>
        </w:rPr>
        <w:t>12.1.</w:t>
      </w:r>
      <w:r>
        <w:rPr>
          <w:rFonts w:ascii="Arial" w:hAnsi="Arial" w:cs="Arial"/>
          <w:sz w:val="17"/>
          <w:szCs w:val="17"/>
        </w:rPr>
        <w:t xml:space="preserve">  </w:t>
      </w:r>
      <w:r>
        <w:rPr>
          <w:rFonts w:ascii="Arial" w:hAnsi="Arial" w:cs="Arial"/>
          <w:bCs/>
          <w:sz w:val="17"/>
          <w:szCs w:val="17"/>
        </w:rPr>
        <w:t>Estima-se para a contratação almejada o valor total de R$ 3.956,77 (Três mil, novecentos e cinquenta e seis reais e setenta e sete centavos).</w:t>
      </w:r>
      <w:r>
        <w:rPr>
          <w:rFonts w:hint="default" w:ascii="Arial" w:hAnsi="Arial" w:cs="Arial"/>
          <w:bCs/>
          <w:sz w:val="17"/>
          <w:szCs w:val="17"/>
          <w:lang w:val="pt-BR"/>
        </w:rPr>
        <w:t xml:space="preserve"> A estimativa de preços foi realizada com base em pesquisa de mercado junto a fornecedores do ramo, observando os parâmetros da Lei n° 14.133/2021, adotando-se como referência a média dos valores obtidos.</w:t>
      </w:r>
    </w:p>
    <w:p w14:paraId="6F37FD5A">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r>
        <w:rPr>
          <w:rFonts w:ascii="Arial" w:hAnsi="Arial" w:cs="Arial"/>
          <w:b/>
          <w:bCs/>
          <w:sz w:val="17"/>
          <w:szCs w:val="17"/>
        </w:rPr>
        <w:t>12.2.</w:t>
      </w:r>
      <w:r>
        <w:rPr>
          <w:rFonts w:ascii="Arial" w:hAnsi="Arial" w:cs="Arial"/>
          <w:bCs/>
          <w:sz w:val="17"/>
          <w:szCs w:val="17"/>
        </w:rPr>
        <w:t xml:space="preserve"> No preço proposto já deverão estar incluídos todos os custos necessários para o cumprimento do </w:t>
      </w:r>
      <w:bookmarkStart w:id="57" w:name="_GoBack"/>
      <w:bookmarkEnd w:id="57"/>
      <w:r>
        <w:rPr>
          <w:rFonts w:ascii="Arial" w:hAnsi="Arial" w:cs="Arial"/>
          <w:bCs/>
          <w:sz w:val="17"/>
          <w:szCs w:val="17"/>
        </w:rPr>
        <w:t>objeto da licitação, bem como todos os impostos, encargos trabalhistas, previdenciários, fiscais, comerciais, taxas, fretes, seguros e quaisquer outros que incidam ou venham a incidir sobre o objeto licitado.</w:t>
      </w:r>
    </w:p>
    <w:p w14:paraId="2F45C6CC">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Cs/>
          <w:sz w:val="17"/>
          <w:szCs w:val="17"/>
        </w:rPr>
      </w:pPr>
    </w:p>
    <w:p w14:paraId="7B21F96D">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sz w:val="17"/>
          <w:szCs w:val="17"/>
        </w:rPr>
      </w:pPr>
      <w:r>
        <w:rPr>
          <w:rFonts w:ascii="Arial" w:hAnsi="Arial" w:cs="Arial"/>
          <w:b/>
          <w:sz w:val="17"/>
          <w:szCs w:val="17"/>
        </w:rPr>
        <w:t>13. DA VIGÊNCIA</w:t>
      </w:r>
    </w:p>
    <w:p w14:paraId="2E0ECE55">
      <w:pPr>
        <w:pStyle w:val="23"/>
        <w:keepNext w:val="0"/>
        <w:keepLines w:val="0"/>
        <w:pageBreakBefore w:val="0"/>
        <w:widowControl/>
        <w:kinsoku/>
        <w:wordWrap/>
        <w:overflowPunct/>
        <w:topLinePunct w:val="0"/>
        <w:bidi w:val="0"/>
        <w:snapToGrid/>
        <w:spacing w:before="0" w:beforeAutospacing="0" w:after="0" w:afterAutospacing="0" w:line="240" w:lineRule="auto"/>
        <w:ind w:left="0"/>
        <w:textAlignment w:val="auto"/>
        <w:rPr>
          <w:rFonts w:ascii="Arial" w:hAnsi="Arial" w:eastAsia="Calibri" w:cs="Arial"/>
          <w:sz w:val="17"/>
          <w:szCs w:val="17"/>
          <w:lang w:eastAsia="en-US"/>
        </w:rPr>
      </w:pPr>
      <w:r>
        <w:rPr>
          <w:rFonts w:ascii="Arial" w:hAnsi="Arial" w:cs="Arial"/>
          <w:b/>
          <w:sz w:val="17"/>
          <w:szCs w:val="17"/>
        </w:rPr>
        <w:t>13.1.</w:t>
      </w:r>
      <w:r>
        <w:rPr>
          <w:rFonts w:ascii="Arial" w:hAnsi="Arial" w:cs="Arial"/>
          <w:sz w:val="17"/>
          <w:szCs w:val="17"/>
        </w:rPr>
        <w:t xml:space="preserve"> </w:t>
      </w:r>
      <w:r>
        <w:rPr>
          <w:rFonts w:ascii="Arial" w:hAnsi="Arial" w:eastAsia="Calibri" w:cs="Arial"/>
          <w:sz w:val="17"/>
          <w:szCs w:val="17"/>
          <w:lang w:eastAsia="en-US"/>
        </w:rPr>
        <w:t>A vigência da Ata de Registro de Preços será de 12 (doze) meses, contados da data de sua homologação, podendo ser prorrogada nos termos da Lei nº 14.133/2021.</w:t>
      </w:r>
    </w:p>
    <w:p w14:paraId="049EB235">
      <w:pPr>
        <w:pStyle w:val="23"/>
        <w:keepNext w:val="0"/>
        <w:keepLines w:val="0"/>
        <w:pageBreakBefore w:val="0"/>
        <w:widowControl/>
        <w:kinsoku/>
        <w:wordWrap/>
        <w:overflowPunct/>
        <w:topLinePunct w:val="0"/>
        <w:bidi w:val="0"/>
        <w:snapToGrid/>
        <w:spacing w:before="0" w:beforeAutospacing="0" w:after="0" w:afterAutospacing="0" w:line="240" w:lineRule="auto"/>
        <w:ind w:left="0"/>
        <w:textAlignment w:val="auto"/>
        <w:rPr>
          <w:rFonts w:ascii="Arial" w:hAnsi="Arial" w:eastAsia="Calibri" w:cs="Arial"/>
          <w:sz w:val="17"/>
          <w:szCs w:val="17"/>
          <w:lang w:eastAsia="en-US"/>
        </w:rPr>
      </w:pPr>
    </w:p>
    <w:p w14:paraId="5B0305C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 xml:space="preserve">14. ADEQUAÇÃO ORÇAMENTÁRIA </w:t>
      </w:r>
    </w:p>
    <w:p w14:paraId="7EAFAE80">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b/>
          <w:sz w:val="17"/>
          <w:szCs w:val="17"/>
        </w:rPr>
        <w:t>14.1.</w:t>
      </w:r>
      <w:r>
        <w:rPr>
          <w:rFonts w:ascii="Arial" w:hAnsi="Arial" w:cs="Arial"/>
          <w:sz w:val="17"/>
          <w:szCs w:val="17"/>
        </w:rPr>
        <w:t xml:space="preserve"> As despesas decorrentes da presente contratação correrão por conta das dotações orçamentárias vigentes, conforme detalhamento a seguir:</w:t>
      </w:r>
    </w:p>
    <w:p w14:paraId="6B2CD6CC">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CENTROS DE CUSTOS</w:t>
      </w:r>
    </w:p>
    <w:p w14:paraId="6572596E">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 xml:space="preserve">02.008 – Secretaria de Saúde </w:t>
      </w:r>
    </w:p>
    <w:p w14:paraId="1FFDF8A9">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 xml:space="preserve">10.122 - 0.008 – Cumprimento de Sentenças Judiciais na Área da Saúde. </w:t>
      </w:r>
    </w:p>
    <w:p w14:paraId="56CCC26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3.3.90.91.00.00.00.00 - 1.500 – Sentenças Judiciais (Ficha 330)</w:t>
      </w:r>
    </w:p>
    <w:p w14:paraId="5A0BA1D3">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b/>
          <w:bCs/>
          <w:sz w:val="17"/>
          <w:szCs w:val="17"/>
        </w:rPr>
      </w:pPr>
      <w:r>
        <w:rPr>
          <w:rFonts w:ascii="Arial" w:hAnsi="Arial" w:cs="Arial"/>
          <w:b/>
          <w:bCs/>
          <w:sz w:val="17"/>
          <w:szCs w:val="17"/>
        </w:rPr>
        <w:t xml:space="preserve">02.009 – Fundo Municipal de Saúde </w:t>
      </w:r>
    </w:p>
    <w:p w14:paraId="2D7AB6A4">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10.301 - 2.083–Manutenção e Coordenação das Atividades da Atenção Básica</w:t>
      </w:r>
    </w:p>
    <w:p w14:paraId="0DC1D860">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3.3.90.30.00.00.00.00 - 1.600 – Material de Consumo (Ficha 388)</w:t>
      </w:r>
    </w:p>
    <w:p w14:paraId="591CA0C8">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 xml:space="preserve">10.302 - 2.084– Manutenção e Coordenação das Atividades da Média e Alta  Complexidade Ambulatorial </w:t>
      </w:r>
    </w:p>
    <w:p w14:paraId="513D9FFF">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r>
        <w:rPr>
          <w:rFonts w:ascii="Arial" w:hAnsi="Arial" w:cs="Arial"/>
          <w:sz w:val="17"/>
          <w:szCs w:val="17"/>
        </w:rPr>
        <w:t>3.3.90.30.00.00.00.00 - 1.600 – Material de Consumo (Ficha 412)</w:t>
      </w:r>
    </w:p>
    <w:p w14:paraId="5C0A570F">
      <w:pPr>
        <w:keepNext w:val="0"/>
        <w:keepLines w:val="0"/>
        <w:pageBreakBefore w:val="0"/>
        <w:widowControl/>
        <w:kinsoku/>
        <w:wordWrap/>
        <w:overflowPunct/>
        <w:topLinePunct w:val="0"/>
        <w:bidi w:val="0"/>
        <w:snapToGrid/>
        <w:spacing w:beforeAutospacing="0" w:afterAutospacing="0" w:line="240" w:lineRule="auto"/>
        <w:ind w:left="0"/>
        <w:jc w:val="both"/>
        <w:textAlignment w:val="auto"/>
        <w:rPr>
          <w:rFonts w:ascii="Arial" w:hAnsi="Arial" w:cs="Arial"/>
          <w:sz w:val="17"/>
          <w:szCs w:val="17"/>
        </w:rPr>
      </w:pPr>
    </w:p>
    <w:p w14:paraId="1697C65C">
      <w:pPr>
        <w:rPr>
          <w:rFonts w:ascii="Arial" w:hAnsi="Arial" w:cs="Arial"/>
          <w:b/>
          <w:sz w:val="32"/>
          <w:szCs w:val="32"/>
        </w:rPr>
      </w:pPr>
      <w:r>
        <w:rPr>
          <w:rFonts w:ascii="Arial" w:hAnsi="Arial" w:cs="Arial"/>
          <w:b/>
          <w:sz w:val="32"/>
          <w:szCs w:val="32"/>
        </w:rPr>
        <w:br w:type="page"/>
      </w:r>
    </w:p>
    <w:p w14:paraId="43A991B5">
      <w:pPr>
        <w:pStyle w:val="222"/>
        <w:autoSpaceDE w:val="0"/>
        <w:autoSpaceDN w:val="0"/>
        <w:adjustRightInd w:val="0"/>
        <w:spacing w:line="360" w:lineRule="auto"/>
        <w:ind w:left="0"/>
        <w:contextualSpacing w:val="0"/>
        <w:jc w:val="center"/>
        <w:rPr>
          <w:rFonts w:ascii="Arial" w:hAnsi="Arial" w:cs="Arial"/>
          <w:b/>
          <w:bCs/>
          <w:sz w:val="32"/>
          <w:szCs w:val="32"/>
        </w:rPr>
      </w:pPr>
      <w:r>
        <w:rPr>
          <w:rFonts w:ascii="Arial" w:hAnsi="Arial" w:cs="Arial"/>
          <w:b/>
          <w:sz w:val="32"/>
          <w:szCs w:val="32"/>
        </w:rPr>
        <w:t>ANEXO II</w:t>
      </w:r>
    </w:p>
    <w:p w14:paraId="493E09E8">
      <w:pPr>
        <w:pStyle w:val="189"/>
        <w:spacing w:before="0" w:after="0"/>
        <w:ind w:left="0" w:leftChars="0" w:firstLine="0" w:firstLineChars="0"/>
        <w:jc w:val="center"/>
      </w:pPr>
      <w:r>
        <w:t>MODELO DE PROPOSTA COMERCIAL</w:t>
      </w:r>
    </w:p>
    <w:p w14:paraId="78BB6BFC">
      <w:pPr>
        <w:ind w:left="0" w:leftChars="0" w:firstLine="0" w:firstLineChars="0"/>
        <w:jc w:val="center"/>
        <w:rPr>
          <w:color w:val="FF0000"/>
        </w:rPr>
      </w:pPr>
    </w:p>
    <w:p w14:paraId="11334253">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043/2026</w:t>
      </w:r>
    </w:p>
    <w:p w14:paraId="35FB6793">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hint="default" w:ascii="Arial" w:hAnsi="Arial" w:cs="Arial"/>
          <w:b/>
          <w:bCs/>
          <w:color w:val="auto"/>
          <w:sz w:val="20"/>
          <w:szCs w:val="20"/>
          <w:lang w:val="pt-BR"/>
        </w:rPr>
        <w:t>018/2026</w:t>
      </w:r>
    </w:p>
    <w:p w14:paraId="0F6E1EEE">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018/2026</w:t>
      </w:r>
    </w:p>
    <w:p w14:paraId="2BA4D95F">
      <w:pPr>
        <w:ind w:firstLine="567"/>
        <w:jc w:val="center"/>
        <w:rPr>
          <w:rFonts w:ascii="Arial" w:hAnsi="Arial" w:cs="Arial"/>
          <w:b/>
          <w:bCs/>
          <w:color w:val="000000"/>
          <w:sz w:val="20"/>
          <w:szCs w:val="20"/>
        </w:rPr>
      </w:pPr>
    </w:p>
    <w:p w14:paraId="09FE7D20">
      <w:pPr>
        <w:spacing w:line="276" w:lineRule="auto"/>
        <w:ind w:left="-142"/>
        <w:rPr>
          <w:rFonts w:hint="default" w:ascii="Arial" w:hAnsi="Arial" w:cs="Arial"/>
          <w:sz w:val="18"/>
          <w:szCs w:val="18"/>
          <w:lang w:val="pt-BR"/>
        </w:rPr>
      </w:pPr>
      <w:r>
        <w:rPr>
          <w:rFonts w:ascii="Arial" w:hAnsi="Arial" w:cs="Arial"/>
          <w:sz w:val="18"/>
          <w:szCs w:val="18"/>
        </w:rPr>
        <w:t xml:space="preserve">Tipo de Licitação: MENOR PREÇO </w:t>
      </w:r>
      <w:r>
        <w:rPr>
          <w:rFonts w:ascii="Arial" w:hAnsi="Arial" w:cs="Arial"/>
          <w:sz w:val="18"/>
          <w:szCs w:val="18"/>
          <w:lang w:val="pt-BR"/>
        </w:rPr>
        <w:t>por item</w:t>
      </w:r>
    </w:p>
    <w:p w14:paraId="0BB2B188">
      <w:pPr>
        <w:spacing w:line="276" w:lineRule="auto"/>
        <w:ind w:left="-142"/>
        <w:rPr>
          <w:rFonts w:ascii="Arial" w:hAnsi="Arial" w:cs="Arial"/>
          <w:sz w:val="18"/>
          <w:szCs w:val="18"/>
        </w:rPr>
      </w:pPr>
      <w:r>
        <w:rPr>
          <w:rFonts w:ascii="Arial" w:hAnsi="Arial" w:cs="Arial"/>
          <w:b w:val="0"/>
          <w:bCs w:val="0"/>
          <w:sz w:val="18"/>
          <w:szCs w:val="18"/>
        </w:rPr>
        <w:t xml:space="preserve">Data: </w:t>
      </w:r>
      <w:r>
        <w:rPr>
          <w:rFonts w:hint="default" w:ascii="Arial" w:hAnsi="Arial" w:cs="Arial"/>
          <w:b w:val="0"/>
          <w:bCs w:val="0"/>
          <w:sz w:val="18"/>
          <w:szCs w:val="18"/>
          <w:lang w:val="pt-BR"/>
        </w:rPr>
        <w:t xml:space="preserve">19 de maio </w:t>
      </w:r>
      <w:r>
        <w:rPr>
          <w:rFonts w:ascii="Arial" w:hAnsi="Arial" w:cs="Arial"/>
          <w:b w:val="0"/>
          <w:bCs w:val="0"/>
          <w:sz w:val="18"/>
          <w:szCs w:val="18"/>
        </w:rPr>
        <w:t>de 202</w:t>
      </w:r>
      <w:r>
        <w:rPr>
          <w:rFonts w:hint="default" w:ascii="Arial" w:hAnsi="Arial" w:cs="Arial"/>
          <w:b w:val="0"/>
          <w:bCs w:val="0"/>
          <w:sz w:val="18"/>
          <w:szCs w:val="18"/>
          <w:lang w:val="pt-BR"/>
        </w:rPr>
        <w:t>6</w:t>
      </w:r>
      <w:r>
        <w:rPr>
          <w:rFonts w:ascii="Arial" w:hAnsi="Arial" w:cs="Arial"/>
          <w:b/>
          <w:bCs/>
          <w:sz w:val="18"/>
          <w:szCs w:val="18"/>
        </w:rPr>
        <w:tab/>
      </w:r>
      <w:r>
        <w:rPr>
          <w:rFonts w:ascii="Arial" w:hAnsi="Arial" w:cs="Arial"/>
          <w:sz w:val="18"/>
          <w:szCs w:val="18"/>
        </w:rPr>
        <w:tab/>
      </w:r>
      <w:r>
        <w:rPr>
          <w:rFonts w:ascii="Arial" w:hAnsi="Arial" w:cs="Arial"/>
          <w:sz w:val="18"/>
          <w:szCs w:val="18"/>
        </w:rPr>
        <w:t>Horário: 9 (nove) horas</w:t>
      </w:r>
    </w:p>
    <w:p w14:paraId="77EE1C83">
      <w:pPr>
        <w:spacing w:line="276" w:lineRule="auto"/>
        <w:ind w:left="-142"/>
        <w:rPr>
          <w:rFonts w:ascii="Arial" w:hAnsi="Arial" w:cs="Arial"/>
          <w:sz w:val="18"/>
          <w:szCs w:val="18"/>
        </w:rPr>
      </w:pPr>
      <w:r>
        <w:rPr>
          <w:rFonts w:ascii="Arial" w:hAnsi="Arial" w:cs="Arial"/>
          <w:sz w:val="18"/>
          <w:szCs w:val="18"/>
        </w:rPr>
        <w:t>Local: www.comprasnet.com.br</w:t>
      </w:r>
    </w:p>
    <w:p w14:paraId="6299AEA3">
      <w:pPr>
        <w:spacing w:line="276" w:lineRule="auto"/>
        <w:ind w:left="-142"/>
        <w:rPr>
          <w:rFonts w:ascii="Arial" w:hAnsi="Arial" w:cs="Arial"/>
          <w:sz w:val="18"/>
          <w:szCs w:val="18"/>
        </w:rPr>
      </w:pPr>
      <w:r>
        <w:rPr>
          <w:rFonts w:ascii="Arial" w:hAnsi="Arial" w:cs="Arial"/>
          <w:sz w:val="18"/>
          <w:szCs w:val="18"/>
        </w:rPr>
        <w:t>RAZÃO SOCIAL DA LICITANTE:</w:t>
      </w:r>
    </w:p>
    <w:p w14:paraId="31522D92">
      <w:pPr>
        <w:spacing w:line="276" w:lineRule="auto"/>
        <w:ind w:left="-142"/>
        <w:rPr>
          <w:rFonts w:ascii="Arial" w:hAnsi="Arial" w:cs="Arial"/>
          <w:sz w:val="18"/>
          <w:szCs w:val="18"/>
        </w:rPr>
      </w:pPr>
      <w:r>
        <w:rPr>
          <w:rFonts w:ascii="Arial" w:hAnsi="Arial" w:cs="Arial"/>
          <w:sz w:val="18"/>
          <w:szCs w:val="18"/>
        </w:rPr>
        <w:t>CNPJ:</w:t>
      </w:r>
    </w:p>
    <w:p w14:paraId="62F6AC5C">
      <w:pPr>
        <w:spacing w:line="276" w:lineRule="auto"/>
        <w:ind w:left="-142"/>
        <w:rPr>
          <w:rFonts w:ascii="Arial" w:hAnsi="Arial" w:cs="Arial"/>
          <w:sz w:val="18"/>
          <w:szCs w:val="18"/>
        </w:rPr>
      </w:pPr>
      <w:r>
        <w:rPr>
          <w:rFonts w:ascii="Arial" w:hAnsi="Arial" w:cs="Arial"/>
          <w:sz w:val="18"/>
          <w:szCs w:val="18"/>
        </w:rPr>
        <w:t>ENDEREÇO:</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TELEFONE:</w:t>
      </w:r>
    </w:p>
    <w:p w14:paraId="2D308986">
      <w:pPr>
        <w:spacing w:line="276" w:lineRule="auto"/>
        <w:ind w:left="-142"/>
        <w:rPr>
          <w:rFonts w:ascii="Arial" w:hAnsi="Arial" w:cs="Arial"/>
          <w:sz w:val="18"/>
          <w:szCs w:val="18"/>
        </w:rPr>
      </w:pPr>
      <w:r>
        <w:rPr>
          <w:rFonts w:ascii="Arial" w:hAnsi="Arial" w:cs="Arial"/>
          <w:sz w:val="18"/>
          <w:szCs w:val="18"/>
        </w:rPr>
        <w:t>EMAIL: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DADOS BANCÁRIOS:</w:t>
      </w:r>
    </w:p>
    <w:tbl>
      <w:tblPr>
        <w:tblStyle w:val="6"/>
        <w:tblpPr w:leftFromText="180" w:rightFromText="180" w:vertAnchor="text" w:horzAnchor="page" w:tblpXSpec="center" w:tblpY="249"/>
        <w:tblOverlap w:val="never"/>
        <w:tblW w:w="10056" w:type="dxa"/>
        <w:jc w:val="center"/>
        <w:tblLayout w:type="fixed"/>
        <w:tblCellMar>
          <w:top w:w="0" w:type="dxa"/>
          <w:left w:w="70" w:type="dxa"/>
          <w:bottom w:w="0" w:type="dxa"/>
          <w:right w:w="70" w:type="dxa"/>
        </w:tblCellMar>
      </w:tblPr>
      <w:tblGrid>
        <w:gridCol w:w="541"/>
        <w:gridCol w:w="4040"/>
        <w:gridCol w:w="840"/>
        <w:gridCol w:w="750"/>
        <w:gridCol w:w="1215"/>
        <w:gridCol w:w="1305"/>
        <w:gridCol w:w="1365"/>
      </w:tblGrid>
      <w:tr w14:paraId="0EDA150F">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601DA96E">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040" w:type="dxa"/>
            <w:tcBorders>
              <w:top w:val="single" w:color="auto" w:sz="4" w:space="0"/>
              <w:left w:val="nil"/>
              <w:bottom w:val="single" w:color="auto" w:sz="4" w:space="0"/>
              <w:right w:val="single" w:color="auto" w:sz="4" w:space="0"/>
            </w:tcBorders>
            <w:noWrap/>
            <w:vAlign w:val="center"/>
          </w:tcPr>
          <w:p w14:paraId="370E1782">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Descrição</w:t>
            </w:r>
          </w:p>
        </w:tc>
        <w:tc>
          <w:tcPr>
            <w:tcW w:w="840" w:type="dxa"/>
            <w:tcBorders>
              <w:top w:val="single" w:color="auto" w:sz="4" w:space="0"/>
              <w:left w:val="nil"/>
              <w:bottom w:val="single" w:color="auto" w:sz="4" w:space="0"/>
              <w:right w:val="single" w:color="auto" w:sz="4" w:space="0"/>
            </w:tcBorders>
            <w:noWrap/>
            <w:vAlign w:val="center"/>
          </w:tcPr>
          <w:p w14:paraId="71B88D51">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Und</w:t>
            </w:r>
          </w:p>
        </w:tc>
        <w:tc>
          <w:tcPr>
            <w:tcW w:w="750" w:type="dxa"/>
            <w:tcBorders>
              <w:top w:val="single" w:color="auto" w:sz="4" w:space="0"/>
              <w:left w:val="single" w:color="auto" w:sz="4" w:space="0"/>
              <w:bottom w:val="single" w:color="auto" w:sz="4" w:space="0"/>
              <w:right w:val="single" w:color="auto" w:sz="4" w:space="0"/>
            </w:tcBorders>
            <w:noWrap/>
            <w:vAlign w:val="center"/>
          </w:tcPr>
          <w:p w14:paraId="29631BD4">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Qtd</w:t>
            </w:r>
          </w:p>
        </w:tc>
        <w:tc>
          <w:tcPr>
            <w:tcW w:w="1215" w:type="dxa"/>
            <w:tcBorders>
              <w:top w:val="single" w:color="auto" w:sz="4" w:space="0"/>
              <w:left w:val="single" w:color="auto" w:sz="4" w:space="0"/>
              <w:bottom w:val="single" w:color="auto" w:sz="4" w:space="0"/>
              <w:right w:val="single" w:color="auto" w:sz="4" w:space="0"/>
            </w:tcBorders>
            <w:vAlign w:val="center"/>
          </w:tcPr>
          <w:p w14:paraId="4DD342D4">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Marca</w:t>
            </w:r>
          </w:p>
        </w:tc>
        <w:tc>
          <w:tcPr>
            <w:tcW w:w="1305" w:type="dxa"/>
            <w:tcBorders>
              <w:top w:val="single" w:color="auto" w:sz="4" w:space="0"/>
              <w:left w:val="single" w:color="auto" w:sz="4" w:space="0"/>
              <w:bottom w:val="single" w:color="auto" w:sz="4" w:space="0"/>
              <w:right w:val="single" w:color="auto" w:sz="4" w:space="0"/>
            </w:tcBorders>
            <w:vAlign w:val="center"/>
          </w:tcPr>
          <w:p w14:paraId="468C28AF">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62E56667">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Total</w:t>
            </w:r>
          </w:p>
        </w:tc>
      </w:tr>
      <w:tr w14:paraId="500C3CE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1A5B496">
            <w:pPr>
              <w:spacing w:line="240" w:lineRule="auto"/>
              <w:jc w:val="center"/>
              <w:rPr>
                <w:rFonts w:ascii="Arial" w:hAnsi="Arial" w:cs="Arial"/>
                <w:kern w:val="2"/>
                <w:sz w:val="16"/>
                <w:szCs w:val="16"/>
              </w:rPr>
            </w:pPr>
            <w:r>
              <w:rPr>
                <w:rFonts w:ascii="Arial" w:hAnsi="Arial" w:cs="Arial"/>
                <w:kern w:val="2"/>
                <w:sz w:val="16"/>
                <w:szCs w:val="16"/>
              </w:rPr>
              <w:t>1</w:t>
            </w:r>
          </w:p>
        </w:tc>
        <w:tc>
          <w:tcPr>
            <w:tcW w:w="4040" w:type="dxa"/>
            <w:tcBorders>
              <w:top w:val="nil"/>
              <w:left w:val="nil"/>
              <w:bottom w:val="single" w:color="auto" w:sz="4" w:space="0"/>
              <w:right w:val="single" w:color="auto" w:sz="4" w:space="0"/>
            </w:tcBorders>
            <w:shd w:val="clear" w:color="auto" w:fill="auto"/>
            <w:noWrap/>
            <w:vAlign w:val="bottom"/>
          </w:tcPr>
          <w:p w14:paraId="6FF548A4">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en-US"/>
              </w:rPr>
            </w:pPr>
            <w:r>
              <w:rPr>
                <w:rFonts w:hint="default" w:ascii="Arial" w:hAnsi="Arial" w:eastAsia="Arial" w:cs="Times New Roman"/>
                <w:b w:val="0"/>
                <w:bCs w:val="0"/>
                <w:sz w:val="16"/>
                <w:szCs w:val="16"/>
                <w:rtl w:val="0"/>
                <w:lang w:val="pt-BR"/>
              </w:rPr>
              <w:t>Ácido Acético (5% solução) c/ 100ml</w:t>
            </w:r>
          </w:p>
        </w:tc>
        <w:tc>
          <w:tcPr>
            <w:tcW w:w="840" w:type="dxa"/>
            <w:tcBorders>
              <w:top w:val="nil"/>
              <w:left w:val="nil"/>
              <w:bottom w:val="single" w:color="auto" w:sz="4" w:space="0"/>
              <w:right w:val="single" w:color="auto" w:sz="4" w:space="0"/>
            </w:tcBorders>
            <w:shd w:val="clear" w:color="auto" w:fill="auto"/>
            <w:noWrap/>
            <w:vAlign w:val="center"/>
          </w:tcPr>
          <w:p w14:paraId="6C127E51">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3714DEFC">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5</w:t>
            </w:r>
          </w:p>
        </w:tc>
        <w:tc>
          <w:tcPr>
            <w:tcW w:w="1215" w:type="dxa"/>
            <w:tcBorders>
              <w:top w:val="nil"/>
              <w:left w:val="single" w:color="auto" w:sz="4" w:space="0"/>
              <w:bottom w:val="single" w:color="auto" w:sz="4" w:space="0"/>
              <w:right w:val="single" w:color="auto" w:sz="4" w:space="0"/>
            </w:tcBorders>
            <w:vAlign w:val="center"/>
          </w:tcPr>
          <w:p w14:paraId="1C64F675">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342DA389">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02460C9C">
            <w:pPr>
              <w:wordWrap w:val="0"/>
              <w:spacing w:after="0" w:line="240" w:lineRule="auto"/>
              <w:jc w:val="center"/>
              <w:rPr>
                <w:rFonts w:ascii="Arial" w:hAnsi="Arial" w:cs="Arial"/>
                <w:kern w:val="2"/>
                <w:sz w:val="16"/>
                <w:szCs w:val="16"/>
              </w:rPr>
            </w:pPr>
          </w:p>
        </w:tc>
      </w:tr>
      <w:tr w14:paraId="5DD182C7">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ADE9ED3">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040" w:type="dxa"/>
            <w:tcBorders>
              <w:top w:val="nil"/>
              <w:left w:val="nil"/>
              <w:bottom w:val="single" w:color="auto" w:sz="4" w:space="0"/>
              <w:right w:val="single" w:color="auto" w:sz="4" w:space="0"/>
            </w:tcBorders>
            <w:shd w:val="clear" w:color="auto" w:fill="auto"/>
            <w:noWrap/>
            <w:vAlign w:val="bottom"/>
          </w:tcPr>
          <w:p w14:paraId="086A5A52">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en-US"/>
              </w:rPr>
            </w:pPr>
            <w:r>
              <w:rPr>
                <w:rFonts w:hint="default" w:ascii="Arial" w:hAnsi="Arial" w:eastAsia="Arial" w:cs="Times New Roman"/>
                <w:b w:val="0"/>
                <w:bCs w:val="0"/>
                <w:color w:val="auto"/>
                <w:sz w:val="16"/>
                <w:szCs w:val="16"/>
                <w:rtl w:val="0"/>
                <w:lang w:val="pt-BR"/>
              </w:rPr>
              <w:t>Ácido Folínico 15mg (60 cápsulas)</w:t>
            </w:r>
          </w:p>
        </w:tc>
        <w:tc>
          <w:tcPr>
            <w:tcW w:w="840" w:type="dxa"/>
            <w:tcBorders>
              <w:top w:val="nil"/>
              <w:left w:val="nil"/>
              <w:bottom w:val="single" w:color="auto" w:sz="4" w:space="0"/>
              <w:right w:val="single" w:color="auto" w:sz="4" w:space="0"/>
            </w:tcBorders>
            <w:shd w:val="clear" w:color="auto" w:fill="auto"/>
            <w:noWrap/>
            <w:vAlign w:val="center"/>
          </w:tcPr>
          <w:p w14:paraId="52F8D3D7">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624CBA51">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7BA56630">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74BFD91D">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3F34319E">
            <w:pPr>
              <w:wordWrap w:val="0"/>
              <w:spacing w:after="0" w:line="240" w:lineRule="auto"/>
              <w:jc w:val="center"/>
              <w:rPr>
                <w:rFonts w:ascii="Arial" w:hAnsi="Arial" w:cs="Arial"/>
                <w:kern w:val="2"/>
                <w:sz w:val="16"/>
                <w:szCs w:val="16"/>
              </w:rPr>
            </w:pPr>
          </w:p>
        </w:tc>
      </w:tr>
      <w:tr w14:paraId="77FDEC3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7DC4FD7">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040" w:type="dxa"/>
            <w:tcBorders>
              <w:top w:val="nil"/>
              <w:left w:val="nil"/>
              <w:bottom w:val="single" w:color="auto" w:sz="4" w:space="0"/>
              <w:right w:val="single" w:color="auto" w:sz="4" w:space="0"/>
            </w:tcBorders>
            <w:shd w:val="clear" w:color="auto" w:fill="auto"/>
            <w:noWrap/>
            <w:vAlign w:val="bottom"/>
          </w:tcPr>
          <w:p w14:paraId="5E9E63E4">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Carbonado de cálcio 500mg + Vitamina D3 400 UI (60 cápsulas)</w:t>
            </w:r>
          </w:p>
        </w:tc>
        <w:tc>
          <w:tcPr>
            <w:tcW w:w="840" w:type="dxa"/>
            <w:tcBorders>
              <w:top w:val="nil"/>
              <w:left w:val="nil"/>
              <w:bottom w:val="single" w:color="auto" w:sz="4" w:space="0"/>
              <w:right w:val="single" w:color="auto" w:sz="4" w:space="0"/>
            </w:tcBorders>
            <w:shd w:val="clear" w:color="auto" w:fill="FFFFFF"/>
            <w:noWrap/>
            <w:vAlign w:val="center"/>
          </w:tcPr>
          <w:p w14:paraId="4D9848A6">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249E68BD">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17ED352E">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6ED1D6F0">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7F2CEA28">
            <w:pPr>
              <w:wordWrap w:val="0"/>
              <w:spacing w:after="0" w:line="240" w:lineRule="auto"/>
              <w:jc w:val="center"/>
              <w:rPr>
                <w:rFonts w:ascii="Arial" w:hAnsi="Arial" w:cs="Arial"/>
                <w:kern w:val="2"/>
                <w:sz w:val="16"/>
                <w:szCs w:val="16"/>
              </w:rPr>
            </w:pPr>
          </w:p>
        </w:tc>
      </w:tr>
      <w:tr w14:paraId="5763FB49">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5DF3FEB">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040" w:type="dxa"/>
            <w:tcBorders>
              <w:top w:val="nil"/>
              <w:left w:val="nil"/>
              <w:bottom w:val="single" w:color="auto" w:sz="4" w:space="0"/>
              <w:right w:val="single" w:color="auto" w:sz="4" w:space="0"/>
            </w:tcBorders>
            <w:shd w:val="clear" w:color="auto" w:fill="auto"/>
            <w:noWrap/>
            <w:vAlign w:val="bottom"/>
          </w:tcPr>
          <w:p w14:paraId="0879A799">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Citrato de Potássio 7MEQ (180 cápsulas)</w:t>
            </w:r>
          </w:p>
        </w:tc>
        <w:tc>
          <w:tcPr>
            <w:tcW w:w="840" w:type="dxa"/>
            <w:tcBorders>
              <w:top w:val="nil"/>
              <w:left w:val="nil"/>
              <w:bottom w:val="single" w:color="auto" w:sz="4" w:space="0"/>
              <w:right w:val="single" w:color="auto" w:sz="4" w:space="0"/>
            </w:tcBorders>
            <w:shd w:val="clear" w:color="auto" w:fill="FFFFFF"/>
            <w:noWrap/>
            <w:vAlign w:val="center"/>
          </w:tcPr>
          <w:p w14:paraId="7506D29D">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07BFA937">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19EF4FAC">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7467F955">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6649299B">
            <w:pPr>
              <w:wordWrap w:val="0"/>
              <w:spacing w:after="0" w:line="240" w:lineRule="auto"/>
              <w:jc w:val="center"/>
              <w:rPr>
                <w:rFonts w:ascii="Arial" w:hAnsi="Arial" w:cs="Arial"/>
                <w:kern w:val="2"/>
                <w:sz w:val="16"/>
                <w:szCs w:val="16"/>
              </w:rPr>
            </w:pPr>
          </w:p>
        </w:tc>
      </w:tr>
      <w:tr w14:paraId="539CA35D">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0B4F53C0">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5</w:t>
            </w:r>
          </w:p>
        </w:tc>
        <w:tc>
          <w:tcPr>
            <w:tcW w:w="4040" w:type="dxa"/>
            <w:tcBorders>
              <w:top w:val="nil"/>
              <w:left w:val="nil"/>
              <w:bottom w:val="single" w:color="auto" w:sz="4" w:space="0"/>
              <w:right w:val="single" w:color="auto" w:sz="4" w:space="0"/>
            </w:tcBorders>
            <w:shd w:val="clear" w:color="auto" w:fill="auto"/>
            <w:noWrap/>
            <w:vAlign w:val="bottom"/>
          </w:tcPr>
          <w:p w14:paraId="34826426">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color w:val="auto"/>
                <w:sz w:val="16"/>
                <w:szCs w:val="16"/>
                <w:rtl w:val="0"/>
                <w:lang w:val="pt-BR"/>
              </w:rPr>
              <w:t>Oxibutinina 5mg (90 cápsulas)</w:t>
            </w:r>
          </w:p>
        </w:tc>
        <w:tc>
          <w:tcPr>
            <w:tcW w:w="840" w:type="dxa"/>
            <w:tcBorders>
              <w:top w:val="nil"/>
              <w:left w:val="nil"/>
              <w:bottom w:val="single" w:color="auto" w:sz="4" w:space="0"/>
              <w:right w:val="single" w:color="auto" w:sz="4" w:space="0"/>
            </w:tcBorders>
            <w:shd w:val="clear" w:color="auto" w:fill="FFFFFF"/>
            <w:noWrap/>
            <w:vAlign w:val="center"/>
          </w:tcPr>
          <w:p w14:paraId="12CBFE4A">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011BF3E7">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624C4A89">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3FE86EF3">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554428DB">
            <w:pPr>
              <w:wordWrap w:val="0"/>
              <w:spacing w:after="0" w:line="240" w:lineRule="auto"/>
              <w:jc w:val="center"/>
              <w:rPr>
                <w:rFonts w:ascii="Arial" w:hAnsi="Arial" w:cs="Arial"/>
                <w:kern w:val="2"/>
                <w:sz w:val="16"/>
                <w:szCs w:val="16"/>
              </w:rPr>
            </w:pPr>
          </w:p>
        </w:tc>
      </w:tr>
      <w:tr w14:paraId="43A9BCDB">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7CF0EB0">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6</w:t>
            </w:r>
          </w:p>
        </w:tc>
        <w:tc>
          <w:tcPr>
            <w:tcW w:w="4040" w:type="dxa"/>
            <w:tcBorders>
              <w:top w:val="nil"/>
              <w:left w:val="nil"/>
              <w:bottom w:val="single" w:color="auto" w:sz="4" w:space="0"/>
              <w:right w:val="single" w:color="auto" w:sz="4" w:space="0"/>
            </w:tcBorders>
            <w:shd w:val="clear" w:color="auto" w:fill="auto"/>
            <w:noWrap/>
            <w:vAlign w:val="bottom"/>
          </w:tcPr>
          <w:p w14:paraId="4DB697D6">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Oxibutinina 10mg (30 cápsulas)</w:t>
            </w:r>
          </w:p>
        </w:tc>
        <w:tc>
          <w:tcPr>
            <w:tcW w:w="840" w:type="dxa"/>
            <w:tcBorders>
              <w:top w:val="nil"/>
              <w:left w:val="nil"/>
              <w:bottom w:val="single" w:color="auto" w:sz="4" w:space="0"/>
              <w:right w:val="single" w:color="auto" w:sz="4" w:space="0"/>
            </w:tcBorders>
            <w:shd w:val="clear" w:color="auto" w:fill="FFFFFF"/>
            <w:noWrap/>
            <w:vAlign w:val="center"/>
          </w:tcPr>
          <w:p w14:paraId="27C36595">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3B6B2E89">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781EB258">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1CD2B0E0">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6678556F">
            <w:pPr>
              <w:wordWrap w:val="0"/>
              <w:spacing w:after="0" w:line="240" w:lineRule="auto"/>
              <w:jc w:val="center"/>
              <w:rPr>
                <w:rFonts w:ascii="Arial" w:hAnsi="Arial" w:cs="Arial"/>
                <w:kern w:val="2"/>
                <w:sz w:val="16"/>
                <w:szCs w:val="16"/>
              </w:rPr>
            </w:pPr>
          </w:p>
        </w:tc>
      </w:tr>
      <w:tr w14:paraId="24A3755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24BA980">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7</w:t>
            </w:r>
          </w:p>
        </w:tc>
        <w:tc>
          <w:tcPr>
            <w:tcW w:w="4040" w:type="dxa"/>
            <w:tcBorders>
              <w:top w:val="nil"/>
              <w:left w:val="nil"/>
              <w:bottom w:val="single" w:color="auto" w:sz="4" w:space="0"/>
              <w:right w:val="single" w:color="auto" w:sz="4" w:space="0"/>
            </w:tcBorders>
            <w:shd w:val="clear" w:color="auto" w:fill="auto"/>
            <w:noWrap/>
            <w:vAlign w:val="bottom"/>
          </w:tcPr>
          <w:p w14:paraId="4EA70872">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Vitamina D 50.000 UI (3 cápsulas)</w:t>
            </w:r>
          </w:p>
        </w:tc>
        <w:tc>
          <w:tcPr>
            <w:tcW w:w="840" w:type="dxa"/>
            <w:tcBorders>
              <w:top w:val="nil"/>
              <w:left w:val="nil"/>
              <w:bottom w:val="single" w:color="auto" w:sz="4" w:space="0"/>
              <w:right w:val="single" w:color="auto" w:sz="4" w:space="0"/>
            </w:tcBorders>
            <w:shd w:val="clear" w:color="auto" w:fill="FFFFFF"/>
            <w:noWrap/>
            <w:vAlign w:val="center"/>
          </w:tcPr>
          <w:p w14:paraId="7A31D096">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1F8A8C76">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6E7D31FB">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4CFC8738">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6C1ACB9F">
            <w:pPr>
              <w:wordWrap w:val="0"/>
              <w:spacing w:after="0" w:line="240" w:lineRule="auto"/>
              <w:jc w:val="center"/>
              <w:rPr>
                <w:rFonts w:ascii="Arial" w:hAnsi="Arial" w:cs="Arial"/>
                <w:kern w:val="2"/>
                <w:sz w:val="16"/>
                <w:szCs w:val="16"/>
              </w:rPr>
            </w:pPr>
          </w:p>
        </w:tc>
      </w:tr>
      <w:tr w14:paraId="2AE2D1F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5EF6C59">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8</w:t>
            </w:r>
          </w:p>
        </w:tc>
        <w:tc>
          <w:tcPr>
            <w:tcW w:w="4040" w:type="dxa"/>
            <w:tcBorders>
              <w:top w:val="nil"/>
              <w:left w:val="nil"/>
              <w:bottom w:val="single" w:color="auto" w:sz="4" w:space="0"/>
              <w:right w:val="single" w:color="auto" w:sz="4" w:space="0"/>
            </w:tcBorders>
            <w:shd w:val="clear" w:color="auto" w:fill="auto"/>
            <w:noWrap/>
            <w:vAlign w:val="bottom"/>
          </w:tcPr>
          <w:p w14:paraId="42987874">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Solução de Shiller (2% iodo e 4% iodeto de  potássio) 60ml</w:t>
            </w:r>
          </w:p>
        </w:tc>
        <w:tc>
          <w:tcPr>
            <w:tcW w:w="840" w:type="dxa"/>
            <w:tcBorders>
              <w:top w:val="nil"/>
              <w:left w:val="nil"/>
              <w:bottom w:val="single" w:color="auto" w:sz="4" w:space="0"/>
              <w:right w:val="single" w:color="auto" w:sz="4" w:space="0"/>
            </w:tcBorders>
            <w:shd w:val="clear" w:color="auto" w:fill="FFFFFF"/>
            <w:noWrap/>
            <w:vAlign w:val="center"/>
          </w:tcPr>
          <w:p w14:paraId="2D508F33">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1226B2DC">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5</w:t>
            </w:r>
          </w:p>
        </w:tc>
        <w:tc>
          <w:tcPr>
            <w:tcW w:w="1215" w:type="dxa"/>
            <w:tcBorders>
              <w:top w:val="nil"/>
              <w:left w:val="single" w:color="auto" w:sz="4" w:space="0"/>
              <w:bottom w:val="single" w:color="auto" w:sz="4" w:space="0"/>
              <w:right w:val="single" w:color="auto" w:sz="4" w:space="0"/>
            </w:tcBorders>
            <w:vAlign w:val="center"/>
          </w:tcPr>
          <w:p w14:paraId="0D0BAC76">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6BDD2731">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2813573E">
            <w:pPr>
              <w:wordWrap w:val="0"/>
              <w:spacing w:after="0" w:line="240" w:lineRule="auto"/>
              <w:jc w:val="center"/>
              <w:rPr>
                <w:rFonts w:ascii="Arial" w:hAnsi="Arial" w:cs="Arial"/>
                <w:kern w:val="2"/>
                <w:sz w:val="16"/>
                <w:szCs w:val="16"/>
              </w:rPr>
            </w:pPr>
          </w:p>
        </w:tc>
      </w:tr>
      <w:tr w14:paraId="1BC208E6">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0C69DD50">
            <w:pPr>
              <w:spacing w:line="240" w:lineRule="auto"/>
              <w:jc w:val="center"/>
              <w:rPr>
                <w:rFonts w:hint="default" w:ascii="Arial" w:hAnsi="Arial" w:cs="Arial"/>
                <w:kern w:val="2"/>
                <w:sz w:val="16"/>
                <w:szCs w:val="16"/>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59A92209">
            <w:pPr>
              <w:autoSpaceDE w:val="0"/>
              <w:autoSpaceDN w:val="0"/>
              <w:adjustRightInd w:val="0"/>
              <w:spacing w:after="0" w:line="240" w:lineRule="auto"/>
              <w:jc w:val="both"/>
              <w:rPr>
                <w:rFonts w:hint="default" w:ascii="Arial" w:hAnsi="Arial" w:eastAsia="Arial"/>
                <w:b w:val="0"/>
                <w:bCs w:val="0"/>
                <w:sz w:val="16"/>
                <w:szCs w:val="16"/>
                <w:rtl w:val="0"/>
              </w:rPr>
            </w:pPr>
          </w:p>
        </w:tc>
        <w:tc>
          <w:tcPr>
            <w:tcW w:w="840" w:type="dxa"/>
            <w:tcBorders>
              <w:top w:val="single" w:color="auto" w:sz="4" w:space="0"/>
              <w:left w:val="nil"/>
              <w:bottom w:val="single" w:color="auto" w:sz="4" w:space="0"/>
              <w:right w:val="single" w:color="auto" w:sz="4" w:space="0"/>
            </w:tcBorders>
            <w:shd w:val="clear" w:color="auto" w:fill="auto"/>
            <w:noWrap/>
            <w:vAlign w:val="center"/>
          </w:tcPr>
          <w:p w14:paraId="185EBB8C">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F25F1">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215" w:type="dxa"/>
            <w:tcBorders>
              <w:top w:val="single" w:color="auto" w:sz="4" w:space="0"/>
              <w:left w:val="single" w:color="auto" w:sz="4" w:space="0"/>
              <w:bottom w:val="single" w:color="auto" w:sz="4" w:space="0"/>
              <w:right w:val="single" w:color="auto" w:sz="4" w:space="0"/>
            </w:tcBorders>
            <w:vAlign w:val="center"/>
          </w:tcPr>
          <w:p w14:paraId="1A8CB3AE">
            <w:pPr>
              <w:wordWrap w:val="0"/>
              <w:spacing w:after="0" w:line="240" w:lineRule="auto"/>
              <w:jc w:val="center"/>
              <w:rPr>
                <w:rFonts w:hint="default" w:ascii="Arial" w:hAnsi="Arial" w:cs="Arial"/>
                <w:kern w:val="2"/>
                <w:sz w:val="16"/>
                <w:szCs w:val="16"/>
                <w:lang w:val="pt-BR"/>
              </w:rPr>
            </w:pPr>
          </w:p>
        </w:tc>
        <w:tc>
          <w:tcPr>
            <w:tcW w:w="1305" w:type="dxa"/>
            <w:tcBorders>
              <w:top w:val="single" w:color="auto" w:sz="4" w:space="0"/>
              <w:left w:val="single" w:color="auto" w:sz="4" w:space="0"/>
              <w:bottom w:val="single" w:color="auto" w:sz="4" w:space="0"/>
              <w:right w:val="single" w:color="auto" w:sz="4" w:space="0"/>
            </w:tcBorders>
            <w:vAlign w:val="center"/>
          </w:tcPr>
          <w:p w14:paraId="31690CE5">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2DED7887">
            <w:pPr>
              <w:wordWrap w:val="0"/>
              <w:spacing w:after="0" w:line="240" w:lineRule="auto"/>
              <w:jc w:val="center"/>
              <w:rPr>
                <w:rFonts w:ascii="Arial" w:hAnsi="Arial" w:cs="Arial"/>
                <w:kern w:val="2"/>
                <w:sz w:val="16"/>
                <w:szCs w:val="16"/>
              </w:rPr>
            </w:pPr>
          </w:p>
        </w:tc>
      </w:tr>
    </w:tbl>
    <w:p w14:paraId="0D8707F1">
      <w:pPr>
        <w:spacing w:line="276" w:lineRule="auto"/>
        <w:rPr>
          <w:rFonts w:hint="default" w:ascii="Arial" w:hAnsi="Arial" w:cs="Arial"/>
          <w:sz w:val="18"/>
          <w:szCs w:val="18"/>
          <w:lang w:val="pt-BR"/>
        </w:rPr>
      </w:pPr>
    </w:p>
    <w:p w14:paraId="6160CE4F">
      <w:pPr>
        <w:spacing w:line="276" w:lineRule="auto"/>
        <w:ind w:left="-142"/>
        <w:rPr>
          <w:rFonts w:ascii="Arial" w:hAnsi="Arial" w:cs="Arial"/>
          <w:sz w:val="18"/>
          <w:szCs w:val="18"/>
        </w:rPr>
      </w:pPr>
      <w:r>
        <w:rPr>
          <w:rFonts w:ascii="Arial" w:hAnsi="Arial" w:cs="Arial"/>
          <w:sz w:val="18"/>
          <w:szCs w:val="18"/>
        </w:rPr>
        <w:t>Declaramos para os devidos fins e sob as penas da lei que:</w:t>
      </w:r>
    </w:p>
    <w:p w14:paraId="110E0F48">
      <w:pPr>
        <w:spacing w:line="276" w:lineRule="auto"/>
        <w:ind w:left="-142"/>
        <w:rPr>
          <w:rFonts w:ascii="Arial" w:hAnsi="Arial" w:cs="Arial"/>
          <w:sz w:val="18"/>
          <w:szCs w:val="18"/>
        </w:rPr>
      </w:pPr>
      <w:r>
        <w:rPr>
          <w:rFonts w:ascii="Arial" w:hAnsi="Arial" w:cs="Arial"/>
          <w:sz w:val="18"/>
          <w:szCs w:val="18"/>
          <w:lang w:val="pt-PT"/>
        </w:rPr>
        <w:t>1- Estão incluídas, nos preços cotados, todas as despesas, de qualquer natureza, incidentes sobre o cumprimento do objeto deste Pregão.</w:t>
      </w:r>
    </w:p>
    <w:p w14:paraId="7EE8327A">
      <w:pPr>
        <w:spacing w:line="276" w:lineRule="auto"/>
        <w:ind w:left="-142"/>
        <w:rPr>
          <w:rFonts w:ascii="Arial" w:hAnsi="Arial" w:cs="Arial"/>
          <w:sz w:val="18"/>
          <w:szCs w:val="18"/>
        </w:rPr>
      </w:pPr>
      <w:r>
        <w:rPr>
          <w:rFonts w:ascii="Arial" w:hAnsi="Arial" w:cs="Arial"/>
          <w:sz w:val="18"/>
          <w:szCs w:val="18"/>
          <w:lang w:val="pt-PT"/>
        </w:rPr>
        <w:t>2- Será cumprido o fornecimento de acordo com a especificação da proposta e com o edital, a partir da assinatura do contrato.</w:t>
      </w:r>
    </w:p>
    <w:p w14:paraId="4B49ECBA">
      <w:pPr>
        <w:spacing w:line="276" w:lineRule="auto"/>
        <w:ind w:left="-142"/>
        <w:rPr>
          <w:rFonts w:hint="default" w:ascii="Arial" w:hAnsi="Arial" w:cs="Arial"/>
          <w:sz w:val="18"/>
          <w:szCs w:val="18"/>
          <w:lang w:val="pt-BR"/>
        </w:rPr>
      </w:pPr>
      <w:r>
        <w:rPr>
          <w:rFonts w:ascii="Arial" w:hAnsi="Arial" w:cs="Arial"/>
          <w:sz w:val="18"/>
          <w:szCs w:val="18"/>
          <w:lang w:val="pt-PT"/>
        </w:rPr>
        <w:t xml:space="preserve">3- Esta proposta tem validade de </w:t>
      </w:r>
      <w:r>
        <w:rPr>
          <w:rFonts w:hint="default" w:ascii="Arial" w:hAnsi="Arial" w:cs="Arial"/>
          <w:sz w:val="18"/>
          <w:szCs w:val="18"/>
          <w:lang w:val="pt-BR"/>
        </w:rPr>
        <w:t>_______</w:t>
      </w:r>
      <w:r>
        <w:rPr>
          <w:rFonts w:ascii="Arial" w:hAnsi="Arial" w:cs="Arial"/>
          <w:sz w:val="18"/>
          <w:szCs w:val="18"/>
          <w:lang w:val="pt-PT"/>
        </w:rPr>
        <w:t>dias</w:t>
      </w:r>
      <w:r>
        <w:rPr>
          <w:rFonts w:hint="default" w:ascii="Arial" w:hAnsi="Arial" w:cs="Arial"/>
          <w:sz w:val="18"/>
          <w:szCs w:val="18"/>
          <w:lang w:val="pt-BR"/>
        </w:rPr>
        <w:t>. (mínimo de 60 dias)</w:t>
      </w:r>
    </w:p>
    <w:p w14:paraId="7B47F32B">
      <w:pPr>
        <w:spacing w:line="276" w:lineRule="auto"/>
        <w:ind w:left="-142"/>
        <w:rPr>
          <w:rFonts w:ascii="Arial" w:hAnsi="Arial" w:cs="Arial"/>
          <w:sz w:val="20"/>
          <w:szCs w:val="20"/>
          <w:lang w:val="pt-PT"/>
        </w:rPr>
      </w:pPr>
    </w:p>
    <w:p w14:paraId="331B26D4">
      <w:pPr>
        <w:spacing w:line="276" w:lineRule="auto"/>
        <w:ind w:left="-142"/>
        <w:rPr>
          <w:rFonts w:ascii="Arial" w:hAnsi="Arial" w:cs="Arial"/>
          <w:sz w:val="20"/>
          <w:szCs w:val="20"/>
          <w:lang w:val="pt-PT"/>
        </w:rPr>
      </w:pPr>
    </w:p>
    <w:p w14:paraId="57C657A5">
      <w:pPr>
        <w:tabs>
          <w:tab w:val="left" w:pos="567"/>
          <w:tab w:val="left" w:pos="1134"/>
          <w:tab w:val="left" w:pos="1418"/>
          <w:tab w:val="left" w:pos="2410"/>
          <w:tab w:val="left" w:pos="2552"/>
        </w:tabs>
        <w:spacing w:line="276" w:lineRule="auto"/>
        <w:ind w:left="425" w:firstLine="567"/>
        <w:jc w:val="center"/>
        <w:rPr>
          <w:rFonts w:hint="default" w:ascii="Arial" w:hAnsi="Arial" w:cs="Arial"/>
          <w:sz w:val="20"/>
          <w:szCs w:val="20"/>
          <w:lang w:val="pt-BR"/>
        </w:rPr>
      </w:pPr>
      <w:r>
        <w:rPr>
          <w:rFonts w:hint="default" w:ascii="Arial" w:hAnsi="Arial" w:cs="Arial"/>
          <w:b/>
          <w:bCs/>
          <w:sz w:val="20"/>
          <w:szCs w:val="20"/>
          <w:lang w:val="pt-BR"/>
        </w:rPr>
        <w:t xml:space="preserve"> </w:t>
      </w:r>
      <w:r>
        <w:rPr>
          <w:rFonts w:ascii="Arial" w:hAnsi="Arial" w:cs="Arial"/>
          <w:b/>
          <w:bCs/>
          <w:sz w:val="20"/>
          <w:szCs w:val="20"/>
          <w:lang w:val="pt-PT"/>
        </w:rPr>
        <w:t xml:space="preserve">_____________________, _____ de _____________ de </w:t>
      </w:r>
      <w:r>
        <w:rPr>
          <w:rFonts w:ascii="Arial" w:hAnsi="Arial" w:cs="Arial"/>
          <w:b/>
          <w:bCs/>
          <w:sz w:val="20"/>
          <w:szCs w:val="20"/>
          <w:lang w:val="pt-BR"/>
        </w:rPr>
        <w:t>202</w:t>
      </w:r>
      <w:r>
        <w:rPr>
          <w:rFonts w:hint="default" w:ascii="Arial" w:hAnsi="Arial" w:cs="Arial"/>
          <w:b/>
          <w:bCs/>
          <w:sz w:val="20"/>
          <w:szCs w:val="20"/>
          <w:lang w:val="pt-BR"/>
        </w:rPr>
        <w:t>6</w:t>
      </w:r>
    </w:p>
    <w:p w14:paraId="327405B2">
      <w:pPr>
        <w:spacing w:line="276" w:lineRule="auto"/>
        <w:ind w:firstLine="567"/>
        <w:jc w:val="center"/>
        <w:rPr>
          <w:rFonts w:ascii="Arial" w:hAnsi="Arial" w:cs="Arial"/>
          <w:b/>
          <w:bCs/>
          <w:sz w:val="20"/>
          <w:szCs w:val="20"/>
        </w:rPr>
      </w:pPr>
      <w:r>
        <w:rPr>
          <w:rFonts w:ascii="Arial" w:hAnsi="Arial" w:cs="Arial"/>
          <w:b/>
          <w:bCs/>
          <w:sz w:val="20"/>
          <w:szCs w:val="20"/>
        </w:rPr>
        <w:t>(Cidade e data)</w:t>
      </w:r>
    </w:p>
    <w:p w14:paraId="3A53C07D">
      <w:pPr>
        <w:spacing w:line="276" w:lineRule="auto"/>
        <w:ind w:firstLine="567"/>
        <w:jc w:val="center"/>
        <w:rPr>
          <w:rFonts w:ascii="Arial" w:hAnsi="Arial" w:cs="Arial"/>
          <w:b/>
          <w:bCs/>
          <w:sz w:val="20"/>
          <w:szCs w:val="20"/>
        </w:rPr>
      </w:pPr>
    </w:p>
    <w:p w14:paraId="6B053382">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510D486B">
      <w:pPr>
        <w:spacing w:line="276" w:lineRule="auto"/>
        <w:ind w:firstLine="567"/>
        <w:jc w:val="center"/>
        <w:rPr>
          <w:rFonts w:ascii="Arial" w:hAnsi="Arial" w:cs="Arial"/>
          <w:b/>
          <w:bCs/>
          <w:sz w:val="32"/>
          <w:szCs w:val="32"/>
        </w:rPr>
      </w:pPr>
      <w:r>
        <w:rPr>
          <w:rFonts w:ascii="Arial" w:hAnsi="Arial" w:cs="Arial"/>
          <w:b/>
          <w:bCs/>
          <w:sz w:val="20"/>
          <w:szCs w:val="20"/>
        </w:rPr>
        <w:t>(representante legal</w:t>
      </w:r>
      <w:r>
        <w:rPr>
          <w:rFonts w:hint="default" w:ascii="Arial" w:hAnsi="Arial" w:cs="Arial"/>
          <w:b/>
          <w:bCs/>
          <w:sz w:val="20"/>
          <w:szCs w:val="20"/>
          <w:lang w:val="pt-BR"/>
        </w:rPr>
        <w:t>)</w:t>
      </w:r>
    </w:p>
    <w:p w14:paraId="03BAD544">
      <w:pPr>
        <w:rPr>
          <w:rFonts w:ascii="Arial" w:hAnsi="Arial" w:cs="Arial"/>
          <w:b/>
          <w:bCs/>
          <w:sz w:val="32"/>
          <w:szCs w:val="32"/>
        </w:rPr>
      </w:pPr>
      <w:r>
        <w:rPr>
          <w:rFonts w:ascii="Arial" w:hAnsi="Arial" w:cs="Arial"/>
          <w:b/>
          <w:bCs/>
          <w:sz w:val="32"/>
          <w:szCs w:val="32"/>
        </w:rPr>
        <w:br w:type="page"/>
      </w:r>
    </w:p>
    <w:p w14:paraId="1889D0D1">
      <w:pPr>
        <w:jc w:val="center"/>
        <w:rPr>
          <w:rFonts w:ascii="Arial" w:hAnsi="Arial" w:cs="Arial"/>
          <w:b/>
          <w:bCs/>
          <w:sz w:val="32"/>
          <w:szCs w:val="32"/>
        </w:rPr>
      </w:pPr>
      <w:r>
        <w:rPr>
          <w:rFonts w:ascii="Arial" w:hAnsi="Arial" w:cs="Arial"/>
          <w:b/>
          <w:bCs/>
          <w:sz w:val="32"/>
          <w:szCs w:val="32"/>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7"/>
          <w:szCs w:val="17"/>
        </w:rPr>
      </w:pPr>
      <w:r>
        <w:rPr>
          <w:rFonts w:hint="default" w:ascii="Arial" w:hAnsi="Arial" w:cs="Arial"/>
          <w:b/>
          <w:bCs/>
          <w:sz w:val="17"/>
          <w:szCs w:val="17"/>
        </w:rPr>
        <w:t>MINUTA DA ATA DE REGISTRO DE PREÇOS</w:t>
      </w:r>
    </w:p>
    <w:p w14:paraId="583AF467">
      <w:pPr>
        <w:spacing w:line="240" w:lineRule="auto"/>
        <w:jc w:val="both"/>
        <w:rPr>
          <w:rFonts w:hint="default" w:ascii="Arial" w:hAnsi="Arial" w:cs="Arial"/>
          <w:b/>
          <w:bCs/>
          <w:sz w:val="17"/>
          <w:szCs w:val="17"/>
        </w:rPr>
      </w:pPr>
    </w:p>
    <w:p w14:paraId="1F32F308">
      <w:pPr>
        <w:widowControl w:val="0"/>
        <w:tabs>
          <w:tab w:val="center" w:pos="4779"/>
          <w:tab w:val="right" w:pos="9198"/>
        </w:tabs>
        <w:autoSpaceDE w:val="0"/>
        <w:autoSpaceDN w:val="0"/>
        <w:adjustRightInd w:val="0"/>
        <w:spacing w:before="120" w:after="120" w:line="240"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w:t>
      </w:r>
      <w:r>
        <w:rPr>
          <w:rFonts w:hint="default" w:ascii="Arial" w:hAnsi="Arial" w:cs="Arial"/>
          <w:sz w:val="17"/>
          <w:szCs w:val="17"/>
          <w:lang w:val="pt-BR"/>
        </w:rPr>
        <w:t>093/2026</w:t>
      </w:r>
      <w:r>
        <w:rPr>
          <w:rFonts w:hint="default" w:ascii="Arial" w:hAnsi="Arial" w:cs="Arial"/>
          <w:sz w:val="17"/>
          <w:szCs w:val="17"/>
        </w:rPr>
        <w:t xml:space="preserve">,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018/2026</w:t>
      </w:r>
      <w:r>
        <w:rPr>
          <w:rFonts w:hint="default" w:ascii="Arial" w:hAnsi="Arial" w:cs="Arial"/>
          <w:sz w:val="17"/>
          <w:szCs w:val="17"/>
        </w:rPr>
        <w:t xml:space="preserve">, Processo Administrativo n.º </w:t>
      </w:r>
      <w:r>
        <w:rPr>
          <w:rFonts w:hint="default" w:ascii="Arial" w:hAnsi="Arial" w:cs="Arial"/>
          <w:sz w:val="17"/>
          <w:szCs w:val="17"/>
          <w:lang w:val="pt-BR"/>
        </w:rPr>
        <w:t>043/2026</w:t>
      </w:r>
      <w:r>
        <w:rPr>
          <w:rFonts w:hint="default" w:ascii="Arial" w:hAnsi="Arial" w:cs="Arial"/>
          <w:sz w:val="17"/>
          <w:szCs w:val="17"/>
        </w:rPr>
        <w:t xml:space="preserve">, Pregão Eletrônico n° </w:t>
      </w:r>
      <w:r>
        <w:rPr>
          <w:rFonts w:hint="default" w:ascii="Arial" w:hAnsi="Arial" w:cs="Arial"/>
          <w:sz w:val="17"/>
          <w:szCs w:val="17"/>
          <w:lang w:val="pt-BR"/>
        </w:rPr>
        <w:t>018/2026</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Lei Municipal n° 4.946 de 2023, Decreto Municipal n° 5.805 de 2023, Lei 13.709 de 14 de agosto de 2018 (LGPD - Lei Geral de Proteção de Dados) e Lei 12.846 de 1º de agosto de 2013 (Lei Anticorrupção), e em conformidade com as disposições a seguir:</w:t>
      </w:r>
    </w:p>
    <w:p w14:paraId="20323ECA">
      <w:pPr>
        <w:spacing w:line="240" w:lineRule="auto"/>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5C3BEEEE">
      <w:pPr>
        <w:spacing w:line="240" w:lineRule="auto"/>
        <w:jc w:val="both"/>
        <w:rPr>
          <w:rFonts w:hint="default" w:ascii="Arial" w:hAnsi="Arial" w:cs="Arial"/>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1A491D9A">
      <w:pPr>
        <w:pStyle w:val="222"/>
        <w:numPr>
          <w:ilvl w:val="1"/>
          <w:numId w:val="20"/>
        </w:numPr>
        <w:tabs>
          <w:tab w:val="left" w:pos="426"/>
        </w:tabs>
        <w:spacing w:line="240" w:lineRule="auto"/>
        <w:ind w:left="0" w:firstLine="0"/>
        <w:jc w:val="both"/>
        <w:rPr>
          <w:rFonts w:hint="default" w:ascii="Arial" w:hAnsi="Arial" w:cs="Arial"/>
          <w:b w:val="0"/>
          <w:bCs w:val="0"/>
          <w:sz w:val="17"/>
          <w:szCs w:val="17"/>
        </w:rPr>
      </w:pPr>
      <w:r>
        <w:rPr>
          <w:rFonts w:hint="default" w:ascii="Arial" w:hAnsi="Arial" w:cs="Arial"/>
          <w:sz w:val="17"/>
          <w:szCs w:val="17"/>
        </w:rPr>
        <w:t>Registr</w:t>
      </w:r>
      <w:r>
        <w:rPr>
          <w:rFonts w:hint="default" w:ascii="Arial" w:hAnsi="Arial" w:cs="Arial"/>
          <w:b w:val="0"/>
          <w:bCs w:val="0"/>
          <w:sz w:val="17"/>
          <w:szCs w:val="17"/>
        </w:rPr>
        <w:t xml:space="preserve">ar </w:t>
      </w:r>
      <w:r>
        <w:rPr>
          <w:rFonts w:ascii="Arial" w:hAnsi="Arial" w:cs="Arial"/>
          <w:color w:val="000000"/>
          <w:sz w:val="17"/>
          <w:szCs w:val="17"/>
        </w:rPr>
        <w:t xml:space="preserve">preços para futura </w:t>
      </w:r>
      <w:r>
        <w:rPr>
          <w:rFonts w:ascii="Arial" w:hAnsi="Arial" w:cs="Arial"/>
          <w:b w:val="0"/>
          <w:bCs w:val="0"/>
          <w:color w:val="000000"/>
          <w:sz w:val="17"/>
          <w:szCs w:val="17"/>
        </w:rPr>
        <w:t xml:space="preserve">e eventual contratação de </w:t>
      </w:r>
      <w:r>
        <w:rPr>
          <w:rFonts w:hint="default" w:ascii="Arial" w:hAnsi="Arial"/>
          <w:b w:val="0"/>
          <w:bCs w:val="0"/>
          <w:color w:val="000000"/>
          <w:sz w:val="17"/>
          <w:szCs w:val="17"/>
        </w:rPr>
        <w:t xml:space="preserve">empresa especializada no fornecimento de </w:t>
      </w:r>
      <w:r>
        <w:rPr>
          <w:rFonts w:hint="default" w:ascii="Arial" w:hAnsi="Arial"/>
          <w:b w:val="0"/>
          <w:bCs w:val="0"/>
          <w:sz w:val="18"/>
          <w:szCs w:val="18"/>
        </w:rPr>
        <w:t>medicamentos manipulados em atendimento às demandas da Secretaria de Saúde da Prefeitura Municipal de Cataguases-MG</w:t>
      </w:r>
      <w:r>
        <w:rPr>
          <w:rFonts w:hint="default" w:ascii="Arial" w:hAnsi="Arial" w:cs="Arial"/>
          <w:b w:val="0"/>
          <w:bCs w:val="0"/>
          <w:sz w:val="17"/>
          <w:szCs w:val="17"/>
        </w:rPr>
        <w:t>, a saber:</w:t>
      </w:r>
    </w:p>
    <w:tbl>
      <w:tblPr>
        <w:tblStyle w:val="6"/>
        <w:tblpPr w:leftFromText="180" w:rightFromText="180" w:vertAnchor="text" w:horzAnchor="page" w:tblpXSpec="center" w:tblpY="249"/>
        <w:tblOverlap w:val="never"/>
        <w:tblW w:w="10056" w:type="dxa"/>
        <w:jc w:val="center"/>
        <w:tblLayout w:type="fixed"/>
        <w:tblCellMar>
          <w:top w:w="0" w:type="dxa"/>
          <w:left w:w="70" w:type="dxa"/>
          <w:bottom w:w="0" w:type="dxa"/>
          <w:right w:w="70" w:type="dxa"/>
        </w:tblCellMar>
      </w:tblPr>
      <w:tblGrid>
        <w:gridCol w:w="541"/>
        <w:gridCol w:w="4040"/>
        <w:gridCol w:w="840"/>
        <w:gridCol w:w="750"/>
        <w:gridCol w:w="1215"/>
        <w:gridCol w:w="1305"/>
        <w:gridCol w:w="1365"/>
      </w:tblGrid>
      <w:tr w14:paraId="5AB14DFC">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36BF9BD8">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040" w:type="dxa"/>
            <w:tcBorders>
              <w:top w:val="single" w:color="auto" w:sz="4" w:space="0"/>
              <w:left w:val="nil"/>
              <w:bottom w:val="single" w:color="auto" w:sz="4" w:space="0"/>
              <w:right w:val="single" w:color="auto" w:sz="4" w:space="0"/>
            </w:tcBorders>
            <w:noWrap/>
            <w:vAlign w:val="center"/>
          </w:tcPr>
          <w:p w14:paraId="26DA0289">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Descrição</w:t>
            </w:r>
          </w:p>
        </w:tc>
        <w:tc>
          <w:tcPr>
            <w:tcW w:w="840" w:type="dxa"/>
            <w:tcBorders>
              <w:top w:val="single" w:color="auto" w:sz="4" w:space="0"/>
              <w:left w:val="nil"/>
              <w:bottom w:val="single" w:color="auto" w:sz="4" w:space="0"/>
              <w:right w:val="single" w:color="auto" w:sz="4" w:space="0"/>
            </w:tcBorders>
            <w:noWrap/>
            <w:vAlign w:val="center"/>
          </w:tcPr>
          <w:p w14:paraId="0268F465">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Und</w:t>
            </w:r>
          </w:p>
        </w:tc>
        <w:tc>
          <w:tcPr>
            <w:tcW w:w="750" w:type="dxa"/>
            <w:tcBorders>
              <w:top w:val="single" w:color="auto" w:sz="4" w:space="0"/>
              <w:left w:val="single" w:color="auto" w:sz="4" w:space="0"/>
              <w:bottom w:val="single" w:color="auto" w:sz="4" w:space="0"/>
              <w:right w:val="single" w:color="auto" w:sz="4" w:space="0"/>
            </w:tcBorders>
            <w:noWrap/>
            <w:vAlign w:val="center"/>
          </w:tcPr>
          <w:p w14:paraId="406CDD5B">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Qtd</w:t>
            </w:r>
          </w:p>
        </w:tc>
        <w:tc>
          <w:tcPr>
            <w:tcW w:w="1215" w:type="dxa"/>
            <w:tcBorders>
              <w:top w:val="single" w:color="auto" w:sz="4" w:space="0"/>
              <w:left w:val="single" w:color="auto" w:sz="4" w:space="0"/>
              <w:bottom w:val="single" w:color="auto" w:sz="4" w:space="0"/>
              <w:right w:val="single" w:color="auto" w:sz="4" w:space="0"/>
            </w:tcBorders>
            <w:vAlign w:val="center"/>
          </w:tcPr>
          <w:p w14:paraId="5DFECA94">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Marca</w:t>
            </w:r>
          </w:p>
        </w:tc>
        <w:tc>
          <w:tcPr>
            <w:tcW w:w="1305" w:type="dxa"/>
            <w:tcBorders>
              <w:top w:val="single" w:color="auto" w:sz="4" w:space="0"/>
              <w:left w:val="single" w:color="auto" w:sz="4" w:space="0"/>
              <w:bottom w:val="single" w:color="auto" w:sz="4" w:space="0"/>
              <w:right w:val="single" w:color="auto" w:sz="4" w:space="0"/>
            </w:tcBorders>
            <w:vAlign w:val="center"/>
          </w:tcPr>
          <w:p w14:paraId="0088D02C">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00402A55">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Total</w:t>
            </w:r>
          </w:p>
        </w:tc>
      </w:tr>
      <w:tr w14:paraId="3310313F">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7C8108F">
            <w:pPr>
              <w:spacing w:line="240" w:lineRule="auto"/>
              <w:jc w:val="center"/>
              <w:rPr>
                <w:rFonts w:ascii="Arial" w:hAnsi="Arial" w:cs="Arial"/>
                <w:kern w:val="2"/>
                <w:sz w:val="16"/>
                <w:szCs w:val="16"/>
              </w:rPr>
            </w:pPr>
            <w:r>
              <w:rPr>
                <w:rFonts w:ascii="Arial" w:hAnsi="Arial" w:cs="Arial"/>
                <w:kern w:val="2"/>
                <w:sz w:val="16"/>
                <w:szCs w:val="16"/>
              </w:rPr>
              <w:t>1</w:t>
            </w:r>
          </w:p>
        </w:tc>
        <w:tc>
          <w:tcPr>
            <w:tcW w:w="4040" w:type="dxa"/>
            <w:tcBorders>
              <w:top w:val="nil"/>
              <w:left w:val="nil"/>
              <w:bottom w:val="single" w:color="auto" w:sz="4" w:space="0"/>
              <w:right w:val="single" w:color="auto" w:sz="4" w:space="0"/>
            </w:tcBorders>
            <w:shd w:val="clear" w:color="auto" w:fill="auto"/>
            <w:noWrap/>
            <w:vAlign w:val="bottom"/>
          </w:tcPr>
          <w:p w14:paraId="266E6A5A">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en-US"/>
              </w:rPr>
            </w:pPr>
            <w:r>
              <w:rPr>
                <w:rFonts w:hint="default" w:ascii="Arial" w:hAnsi="Arial" w:eastAsia="Arial" w:cs="Times New Roman"/>
                <w:b w:val="0"/>
                <w:bCs w:val="0"/>
                <w:sz w:val="16"/>
                <w:szCs w:val="16"/>
                <w:rtl w:val="0"/>
                <w:lang w:val="pt-BR"/>
              </w:rPr>
              <w:t>Ácido Acético (5% solução) c/ 100ml</w:t>
            </w:r>
          </w:p>
        </w:tc>
        <w:tc>
          <w:tcPr>
            <w:tcW w:w="840" w:type="dxa"/>
            <w:tcBorders>
              <w:top w:val="nil"/>
              <w:left w:val="nil"/>
              <w:bottom w:val="single" w:color="auto" w:sz="4" w:space="0"/>
              <w:right w:val="single" w:color="auto" w:sz="4" w:space="0"/>
            </w:tcBorders>
            <w:shd w:val="clear" w:color="auto" w:fill="auto"/>
            <w:noWrap/>
            <w:vAlign w:val="center"/>
          </w:tcPr>
          <w:p w14:paraId="6AAE7536">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666A41D3">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5</w:t>
            </w:r>
          </w:p>
        </w:tc>
        <w:tc>
          <w:tcPr>
            <w:tcW w:w="1215" w:type="dxa"/>
            <w:tcBorders>
              <w:top w:val="nil"/>
              <w:left w:val="single" w:color="auto" w:sz="4" w:space="0"/>
              <w:bottom w:val="single" w:color="auto" w:sz="4" w:space="0"/>
              <w:right w:val="single" w:color="auto" w:sz="4" w:space="0"/>
            </w:tcBorders>
            <w:vAlign w:val="center"/>
          </w:tcPr>
          <w:p w14:paraId="6D18895C">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40DC53DB">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017D64A8">
            <w:pPr>
              <w:wordWrap w:val="0"/>
              <w:spacing w:after="0" w:line="240" w:lineRule="auto"/>
              <w:jc w:val="center"/>
              <w:rPr>
                <w:rFonts w:ascii="Arial" w:hAnsi="Arial" w:cs="Arial"/>
                <w:kern w:val="2"/>
                <w:sz w:val="16"/>
                <w:szCs w:val="16"/>
              </w:rPr>
            </w:pPr>
          </w:p>
        </w:tc>
      </w:tr>
      <w:tr w14:paraId="412D85BF">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2D6E0683">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040" w:type="dxa"/>
            <w:tcBorders>
              <w:top w:val="nil"/>
              <w:left w:val="nil"/>
              <w:bottom w:val="single" w:color="auto" w:sz="4" w:space="0"/>
              <w:right w:val="single" w:color="auto" w:sz="4" w:space="0"/>
            </w:tcBorders>
            <w:shd w:val="clear" w:color="auto" w:fill="auto"/>
            <w:noWrap/>
            <w:vAlign w:val="bottom"/>
          </w:tcPr>
          <w:p w14:paraId="0FE42016">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en-US"/>
              </w:rPr>
            </w:pPr>
            <w:r>
              <w:rPr>
                <w:rFonts w:hint="default" w:ascii="Arial" w:hAnsi="Arial" w:eastAsia="Arial" w:cs="Times New Roman"/>
                <w:b w:val="0"/>
                <w:bCs w:val="0"/>
                <w:color w:val="auto"/>
                <w:sz w:val="16"/>
                <w:szCs w:val="16"/>
                <w:rtl w:val="0"/>
                <w:lang w:val="pt-BR"/>
              </w:rPr>
              <w:t>Ácido Folínico 15mg (60 cápsulas)</w:t>
            </w:r>
          </w:p>
        </w:tc>
        <w:tc>
          <w:tcPr>
            <w:tcW w:w="840" w:type="dxa"/>
            <w:tcBorders>
              <w:top w:val="nil"/>
              <w:left w:val="nil"/>
              <w:bottom w:val="single" w:color="auto" w:sz="4" w:space="0"/>
              <w:right w:val="single" w:color="auto" w:sz="4" w:space="0"/>
            </w:tcBorders>
            <w:shd w:val="clear" w:color="auto" w:fill="auto"/>
            <w:noWrap/>
            <w:vAlign w:val="center"/>
          </w:tcPr>
          <w:p w14:paraId="51CC5017">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4026D2BD">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5967EDEB">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21D71E53">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3FD25946">
            <w:pPr>
              <w:wordWrap w:val="0"/>
              <w:spacing w:after="0" w:line="240" w:lineRule="auto"/>
              <w:jc w:val="center"/>
              <w:rPr>
                <w:rFonts w:ascii="Arial" w:hAnsi="Arial" w:cs="Arial"/>
                <w:kern w:val="2"/>
                <w:sz w:val="16"/>
                <w:szCs w:val="16"/>
              </w:rPr>
            </w:pPr>
          </w:p>
        </w:tc>
      </w:tr>
      <w:tr w14:paraId="641BA31A">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1F6ACD11">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040" w:type="dxa"/>
            <w:tcBorders>
              <w:top w:val="nil"/>
              <w:left w:val="nil"/>
              <w:bottom w:val="single" w:color="auto" w:sz="4" w:space="0"/>
              <w:right w:val="single" w:color="auto" w:sz="4" w:space="0"/>
            </w:tcBorders>
            <w:shd w:val="clear" w:color="auto" w:fill="auto"/>
            <w:noWrap/>
            <w:vAlign w:val="bottom"/>
          </w:tcPr>
          <w:p w14:paraId="5A965B2D">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Carbonado de cálcio 500mg + Vitamina D3 400 UI (60 cápsulas)</w:t>
            </w:r>
          </w:p>
        </w:tc>
        <w:tc>
          <w:tcPr>
            <w:tcW w:w="840" w:type="dxa"/>
            <w:tcBorders>
              <w:top w:val="nil"/>
              <w:left w:val="nil"/>
              <w:bottom w:val="single" w:color="auto" w:sz="4" w:space="0"/>
              <w:right w:val="single" w:color="auto" w:sz="4" w:space="0"/>
            </w:tcBorders>
            <w:shd w:val="clear" w:color="auto" w:fill="FFFFFF"/>
            <w:noWrap/>
            <w:vAlign w:val="center"/>
          </w:tcPr>
          <w:p w14:paraId="2A800F20">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54D90760">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2E98CBE8">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574A3624">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0A5D8362">
            <w:pPr>
              <w:wordWrap w:val="0"/>
              <w:spacing w:after="0" w:line="240" w:lineRule="auto"/>
              <w:jc w:val="center"/>
              <w:rPr>
                <w:rFonts w:ascii="Arial" w:hAnsi="Arial" w:cs="Arial"/>
                <w:kern w:val="2"/>
                <w:sz w:val="16"/>
                <w:szCs w:val="16"/>
              </w:rPr>
            </w:pPr>
          </w:p>
        </w:tc>
      </w:tr>
      <w:tr w14:paraId="4902D57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11901998">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040" w:type="dxa"/>
            <w:tcBorders>
              <w:top w:val="nil"/>
              <w:left w:val="nil"/>
              <w:bottom w:val="single" w:color="auto" w:sz="4" w:space="0"/>
              <w:right w:val="single" w:color="auto" w:sz="4" w:space="0"/>
            </w:tcBorders>
            <w:shd w:val="clear" w:color="auto" w:fill="auto"/>
            <w:noWrap/>
            <w:vAlign w:val="bottom"/>
          </w:tcPr>
          <w:p w14:paraId="5F6B5EA7">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Citrato de Potássio 7MEQ (180 cápsulas)</w:t>
            </w:r>
          </w:p>
        </w:tc>
        <w:tc>
          <w:tcPr>
            <w:tcW w:w="840" w:type="dxa"/>
            <w:tcBorders>
              <w:top w:val="nil"/>
              <w:left w:val="nil"/>
              <w:bottom w:val="single" w:color="auto" w:sz="4" w:space="0"/>
              <w:right w:val="single" w:color="auto" w:sz="4" w:space="0"/>
            </w:tcBorders>
            <w:shd w:val="clear" w:color="auto" w:fill="FFFFFF"/>
            <w:noWrap/>
            <w:vAlign w:val="center"/>
          </w:tcPr>
          <w:p w14:paraId="5408D569">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62B308CF">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6F2EA5A6">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5701DD4A">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12B22A73">
            <w:pPr>
              <w:wordWrap w:val="0"/>
              <w:spacing w:after="0" w:line="240" w:lineRule="auto"/>
              <w:jc w:val="center"/>
              <w:rPr>
                <w:rFonts w:ascii="Arial" w:hAnsi="Arial" w:cs="Arial"/>
                <w:kern w:val="2"/>
                <w:sz w:val="16"/>
                <w:szCs w:val="16"/>
              </w:rPr>
            </w:pPr>
          </w:p>
        </w:tc>
      </w:tr>
      <w:tr w14:paraId="506469FF">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C087B77">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5</w:t>
            </w:r>
          </w:p>
        </w:tc>
        <w:tc>
          <w:tcPr>
            <w:tcW w:w="4040" w:type="dxa"/>
            <w:tcBorders>
              <w:top w:val="nil"/>
              <w:left w:val="nil"/>
              <w:bottom w:val="single" w:color="auto" w:sz="4" w:space="0"/>
              <w:right w:val="single" w:color="auto" w:sz="4" w:space="0"/>
            </w:tcBorders>
            <w:shd w:val="clear" w:color="auto" w:fill="auto"/>
            <w:noWrap/>
            <w:vAlign w:val="bottom"/>
          </w:tcPr>
          <w:p w14:paraId="58408CA8">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color w:val="auto"/>
                <w:sz w:val="16"/>
                <w:szCs w:val="16"/>
                <w:rtl w:val="0"/>
                <w:lang w:val="pt-BR"/>
              </w:rPr>
              <w:t>Oxibutinina 5mg (90 cápsulas)</w:t>
            </w:r>
          </w:p>
        </w:tc>
        <w:tc>
          <w:tcPr>
            <w:tcW w:w="840" w:type="dxa"/>
            <w:tcBorders>
              <w:top w:val="nil"/>
              <w:left w:val="nil"/>
              <w:bottom w:val="single" w:color="auto" w:sz="4" w:space="0"/>
              <w:right w:val="single" w:color="auto" w:sz="4" w:space="0"/>
            </w:tcBorders>
            <w:shd w:val="clear" w:color="auto" w:fill="FFFFFF"/>
            <w:noWrap/>
            <w:vAlign w:val="center"/>
          </w:tcPr>
          <w:p w14:paraId="361D746C">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74988418">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554645C6">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3B753F8C">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26DA968D">
            <w:pPr>
              <w:wordWrap w:val="0"/>
              <w:spacing w:after="0" w:line="240" w:lineRule="auto"/>
              <w:jc w:val="center"/>
              <w:rPr>
                <w:rFonts w:ascii="Arial" w:hAnsi="Arial" w:cs="Arial"/>
                <w:kern w:val="2"/>
                <w:sz w:val="16"/>
                <w:szCs w:val="16"/>
              </w:rPr>
            </w:pPr>
          </w:p>
        </w:tc>
      </w:tr>
      <w:tr w14:paraId="563B828D">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1B351899">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6</w:t>
            </w:r>
          </w:p>
        </w:tc>
        <w:tc>
          <w:tcPr>
            <w:tcW w:w="4040" w:type="dxa"/>
            <w:tcBorders>
              <w:top w:val="nil"/>
              <w:left w:val="nil"/>
              <w:bottom w:val="single" w:color="auto" w:sz="4" w:space="0"/>
              <w:right w:val="single" w:color="auto" w:sz="4" w:space="0"/>
            </w:tcBorders>
            <w:shd w:val="clear" w:color="auto" w:fill="auto"/>
            <w:noWrap/>
            <w:vAlign w:val="bottom"/>
          </w:tcPr>
          <w:p w14:paraId="4B198F38">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Oxibutinina 10mg (30 cápsulas)</w:t>
            </w:r>
          </w:p>
        </w:tc>
        <w:tc>
          <w:tcPr>
            <w:tcW w:w="840" w:type="dxa"/>
            <w:tcBorders>
              <w:top w:val="nil"/>
              <w:left w:val="nil"/>
              <w:bottom w:val="single" w:color="auto" w:sz="4" w:space="0"/>
              <w:right w:val="single" w:color="auto" w:sz="4" w:space="0"/>
            </w:tcBorders>
            <w:shd w:val="clear" w:color="auto" w:fill="FFFFFF"/>
            <w:noWrap/>
            <w:vAlign w:val="center"/>
          </w:tcPr>
          <w:p w14:paraId="5A4A4162">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7E9F21DA">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72B5FF75">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57404046">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08BF0414">
            <w:pPr>
              <w:wordWrap w:val="0"/>
              <w:spacing w:after="0" w:line="240" w:lineRule="auto"/>
              <w:jc w:val="center"/>
              <w:rPr>
                <w:rFonts w:ascii="Arial" w:hAnsi="Arial" w:cs="Arial"/>
                <w:kern w:val="2"/>
                <w:sz w:val="16"/>
                <w:szCs w:val="16"/>
              </w:rPr>
            </w:pPr>
          </w:p>
        </w:tc>
      </w:tr>
      <w:tr w14:paraId="79A06F20">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1249FE6">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7</w:t>
            </w:r>
          </w:p>
        </w:tc>
        <w:tc>
          <w:tcPr>
            <w:tcW w:w="4040" w:type="dxa"/>
            <w:tcBorders>
              <w:top w:val="nil"/>
              <w:left w:val="nil"/>
              <w:bottom w:val="single" w:color="auto" w:sz="4" w:space="0"/>
              <w:right w:val="single" w:color="auto" w:sz="4" w:space="0"/>
            </w:tcBorders>
            <w:shd w:val="clear" w:color="auto" w:fill="auto"/>
            <w:noWrap/>
            <w:vAlign w:val="bottom"/>
          </w:tcPr>
          <w:p w14:paraId="7FC6784F">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Vitamina D 50.000 UI (3 cápsulas)</w:t>
            </w:r>
          </w:p>
        </w:tc>
        <w:tc>
          <w:tcPr>
            <w:tcW w:w="840" w:type="dxa"/>
            <w:tcBorders>
              <w:top w:val="nil"/>
              <w:left w:val="nil"/>
              <w:bottom w:val="single" w:color="auto" w:sz="4" w:space="0"/>
              <w:right w:val="single" w:color="auto" w:sz="4" w:space="0"/>
            </w:tcBorders>
            <w:shd w:val="clear" w:color="auto" w:fill="FFFFFF"/>
            <w:noWrap/>
            <w:vAlign w:val="center"/>
          </w:tcPr>
          <w:p w14:paraId="528CA7CB">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288CC139">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12</w:t>
            </w:r>
          </w:p>
        </w:tc>
        <w:tc>
          <w:tcPr>
            <w:tcW w:w="1215" w:type="dxa"/>
            <w:tcBorders>
              <w:top w:val="nil"/>
              <w:left w:val="single" w:color="auto" w:sz="4" w:space="0"/>
              <w:bottom w:val="single" w:color="auto" w:sz="4" w:space="0"/>
              <w:right w:val="single" w:color="auto" w:sz="4" w:space="0"/>
            </w:tcBorders>
            <w:vAlign w:val="center"/>
          </w:tcPr>
          <w:p w14:paraId="1F6A8348">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2C138CE5">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16029E3A">
            <w:pPr>
              <w:wordWrap w:val="0"/>
              <w:spacing w:after="0" w:line="240" w:lineRule="auto"/>
              <w:jc w:val="center"/>
              <w:rPr>
                <w:rFonts w:ascii="Arial" w:hAnsi="Arial" w:cs="Arial"/>
                <w:kern w:val="2"/>
                <w:sz w:val="16"/>
                <w:szCs w:val="16"/>
              </w:rPr>
            </w:pPr>
          </w:p>
        </w:tc>
      </w:tr>
      <w:tr w14:paraId="274715F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2F315811">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8</w:t>
            </w:r>
          </w:p>
        </w:tc>
        <w:tc>
          <w:tcPr>
            <w:tcW w:w="4040" w:type="dxa"/>
            <w:tcBorders>
              <w:top w:val="nil"/>
              <w:left w:val="nil"/>
              <w:bottom w:val="single" w:color="auto" w:sz="4" w:space="0"/>
              <w:right w:val="single" w:color="auto" w:sz="4" w:space="0"/>
            </w:tcBorders>
            <w:shd w:val="clear" w:color="auto" w:fill="auto"/>
            <w:noWrap/>
            <w:vAlign w:val="bottom"/>
          </w:tcPr>
          <w:p w14:paraId="7170D100">
            <w:pPr>
              <w:autoSpaceDE w:val="0"/>
              <w:autoSpaceDN w:val="0"/>
              <w:adjustRightInd w:val="0"/>
              <w:spacing w:after="0" w:line="240" w:lineRule="auto"/>
              <w:jc w:val="both"/>
              <w:rPr>
                <w:rFonts w:hint="default" w:ascii="Arial" w:hAnsi="Arial" w:eastAsia="Arial" w:cs="Times New Roman"/>
                <w:b w:val="0"/>
                <w:bCs w:val="0"/>
                <w:sz w:val="16"/>
                <w:szCs w:val="16"/>
                <w:rtl w:val="0"/>
                <w:lang w:val="pt-BR" w:eastAsia="pt-BR"/>
              </w:rPr>
            </w:pPr>
            <w:r>
              <w:rPr>
                <w:rFonts w:hint="default" w:ascii="Arial" w:hAnsi="Arial" w:eastAsia="Arial" w:cs="Times New Roman"/>
                <w:b w:val="0"/>
                <w:bCs w:val="0"/>
                <w:sz w:val="16"/>
                <w:szCs w:val="16"/>
                <w:rtl w:val="0"/>
                <w:lang w:val="pt-BR"/>
              </w:rPr>
              <w:t>Solução de Shiller (2% iodo e 4% iodeto de  potássio) 60ml</w:t>
            </w:r>
          </w:p>
        </w:tc>
        <w:tc>
          <w:tcPr>
            <w:tcW w:w="840" w:type="dxa"/>
            <w:tcBorders>
              <w:top w:val="nil"/>
              <w:left w:val="nil"/>
              <w:bottom w:val="single" w:color="auto" w:sz="4" w:space="0"/>
              <w:right w:val="single" w:color="auto" w:sz="4" w:space="0"/>
            </w:tcBorders>
            <w:shd w:val="clear" w:color="auto" w:fill="FFFFFF"/>
            <w:noWrap/>
            <w:vAlign w:val="center"/>
          </w:tcPr>
          <w:p w14:paraId="4BB6F6C2">
            <w:pPr>
              <w:autoSpaceDE w:val="0"/>
              <w:autoSpaceDN w:val="0"/>
              <w:adjustRightInd w:val="0"/>
              <w:spacing w:after="0" w:line="240" w:lineRule="auto"/>
              <w:jc w:val="center"/>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UNID.</w:t>
            </w:r>
          </w:p>
        </w:tc>
        <w:tc>
          <w:tcPr>
            <w:tcW w:w="750" w:type="dxa"/>
            <w:tcBorders>
              <w:top w:val="nil"/>
              <w:left w:val="single" w:color="auto" w:sz="4" w:space="0"/>
              <w:bottom w:val="single" w:color="auto" w:sz="4" w:space="0"/>
              <w:right w:val="single" w:color="auto" w:sz="4" w:space="0"/>
            </w:tcBorders>
            <w:shd w:val="clear" w:color="auto" w:fill="auto"/>
            <w:noWrap/>
            <w:vAlign w:val="center"/>
          </w:tcPr>
          <w:p w14:paraId="36F18AF1">
            <w:pPr>
              <w:autoSpaceDE w:val="0"/>
              <w:autoSpaceDN w:val="0"/>
              <w:adjustRightInd w:val="0"/>
              <w:spacing w:after="0" w:line="240" w:lineRule="auto"/>
              <w:jc w:val="center"/>
              <w:rPr>
                <w:rFonts w:hint="default" w:ascii="Arial" w:hAnsi="Arial" w:eastAsia="Arial" w:cs="Times New Roman"/>
                <w:sz w:val="16"/>
                <w:szCs w:val="16"/>
                <w:rtl w:val="0"/>
                <w:lang w:val="en-US" w:eastAsia="pt-BR" w:bidi="ar-SA"/>
              </w:rPr>
            </w:pPr>
            <w:r>
              <w:rPr>
                <w:rFonts w:hint="default" w:ascii="Arial" w:hAnsi="Arial" w:eastAsia="Arial" w:cs="Times New Roman"/>
                <w:sz w:val="16"/>
                <w:szCs w:val="16"/>
                <w:rtl w:val="0"/>
                <w:lang w:val="en-US" w:eastAsia="pt-BR" w:bidi="ar-SA"/>
              </w:rPr>
              <w:t>5</w:t>
            </w:r>
          </w:p>
        </w:tc>
        <w:tc>
          <w:tcPr>
            <w:tcW w:w="1215" w:type="dxa"/>
            <w:tcBorders>
              <w:top w:val="nil"/>
              <w:left w:val="single" w:color="auto" w:sz="4" w:space="0"/>
              <w:bottom w:val="single" w:color="auto" w:sz="4" w:space="0"/>
              <w:right w:val="single" w:color="auto" w:sz="4" w:space="0"/>
            </w:tcBorders>
            <w:vAlign w:val="center"/>
          </w:tcPr>
          <w:p w14:paraId="620417C9">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73B09F89">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501F7DB6">
            <w:pPr>
              <w:wordWrap w:val="0"/>
              <w:spacing w:after="0" w:line="240" w:lineRule="auto"/>
              <w:jc w:val="center"/>
              <w:rPr>
                <w:rFonts w:ascii="Arial" w:hAnsi="Arial" w:cs="Arial"/>
                <w:kern w:val="2"/>
                <w:sz w:val="16"/>
                <w:szCs w:val="16"/>
              </w:rPr>
            </w:pPr>
          </w:p>
        </w:tc>
      </w:tr>
      <w:tr w14:paraId="4E46DFFD">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7D3B9095">
            <w:pPr>
              <w:spacing w:line="240" w:lineRule="auto"/>
              <w:jc w:val="center"/>
              <w:rPr>
                <w:rFonts w:hint="default" w:ascii="Arial" w:hAnsi="Arial" w:cs="Arial"/>
                <w:kern w:val="2"/>
                <w:sz w:val="16"/>
                <w:szCs w:val="16"/>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12B8DB06">
            <w:pPr>
              <w:autoSpaceDE w:val="0"/>
              <w:autoSpaceDN w:val="0"/>
              <w:adjustRightInd w:val="0"/>
              <w:spacing w:after="0" w:line="240" w:lineRule="auto"/>
              <w:jc w:val="both"/>
              <w:rPr>
                <w:rFonts w:hint="default" w:ascii="Arial" w:hAnsi="Arial" w:eastAsia="Arial"/>
                <w:b w:val="0"/>
                <w:bCs w:val="0"/>
                <w:sz w:val="16"/>
                <w:szCs w:val="16"/>
                <w:rtl w:val="0"/>
              </w:rPr>
            </w:pPr>
          </w:p>
        </w:tc>
        <w:tc>
          <w:tcPr>
            <w:tcW w:w="840" w:type="dxa"/>
            <w:tcBorders>
              <w:top w:val="single" w:color="auto" w:sz="4" w:space="0"/>
              <w:left w:val="nil"/>
              <w:bottom w:val="single" w:color="auto" w:sz="4" w:space="0"/>
              <w:right w:val="single" w:color="auto" w:sz="4" w:space="0"/>
            </w:tcBorders>
            <w:shd w:val="clear" w:color="auto" w:fill="auto"/>
            <w:noWrap/>
            <w:vAlign w:val="center"/>
          </w:tcPr>
          <w:p w14:paraId="3E9C9FAD">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FC49A1">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215" w:type="dxa"/>
            <w:tcBorders>
              <w:top w:val="single" w:color="auto" w:sz="4" w:space="0"/>
              <w:left w:val="single" w:color="auto" w:sz="4" w:space="0"/>
              <w:bottom w:val="single" w:color="auto" w:sz="4" w:space="0"/>
              <w:right w:val="single" w:color="auto" w:sz="4" w:space="0"/>
            </w:tcBorders>
            <w:vAlign w:val="center"/>
          </w:tcPr>
          <w:p w14:paraId="0FF66FFD">
            <w:pPr>
              <w:wordWrap w:val="0"/>
              <w:spacing w:after="0" w:line="240" w:lineRule="auto"/>
              <w:jc w:val="center"/>
              <w:rPr>
                <w:rFonts w:hint="default" w:ascii="Arial" w:hAnsi="Arial" w:cs="Arial"/>
                <w:kern w:val="2"/>
                <w:sz w:val="16"/>
                <w:szCs w:val="16"/>
                <w:lang w:val="pt-BR"/>
              </w:rPr>
            </w:pPr>
          </w:p>
        </w:tc>
        <w:tc>
          <w:tcPr>
            <w:tcW w:w="1305" w:type="dxa"/>
            <w:tcBorders>
              <w:top w:val="single" w:color="auto" w:sz="4" w:space="0"/>
              <w:left w:val="single" w:color="auto" w:sz="4" w:space="0"/>
              <w:bottom w:val="single" w:color="auto" w:sz="4" w:space="0"/>
              <w:right w:val="single" w:color="auto" w:sz="4" w:space="0"/>
            </w:tcBorders>
            <w:vAlign w:val="center"/>
          </w:tcPr>
          <w:p w14:paraId="6B09733C">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634F34C6">
            <w:pPr>
              <w:wordWrap w:val="0"/>
              <w:spacing w:after="0" w:line="240" w:lineRule="auto"/>
              <w:jc w:val="center"/>
              <w:rPr>
                <w:rFonts w:ascii="Arial" w:hAnsi="Arial" w:cs="Arial"/>
                <w:kern w:val="2"/>
                <w:sz w:val="16"/>
                <w:szCs w:val="16"/>
              </w:rPr>
            </w:pPr>
          </w:p>
        </w:tc>
      </w:tr>
    </w:tbl>
    <w:p w14:paraId="607E252E">
      <w:pPr>
        <w:pStyle w:val="222"/>
        <w:numPr>
          <w:ilvl w:val="0"/>
          <w:numId w:val="0"/>
        </w:numPr>
        <w:tabs>
          <w:tab w:val="left" w:pos="426"/>
        </w:tabs>
        <w:spacing w:line="240" w:lineRule="auto"/>
        <w:ind w:leftChars="0"/>
        <w:jc w:val="both"/>
        <w:rPr>
          <w:rFonts w:hint="default" w:ascii="Arial" w:hAnsi="Arial" w:cs="Arial"/>
          <w:b w:val="0"/>
          <w:bCs w:val="0"/>
          <w:sz w:val="17"/>
          <w:szCs w:val="17"/>
        </w:rPr>
      </w:pPr>
    </w:p>
    <w:p w14:paraId="3B2D2F8E">
      <w:pPr>
        <w:pStyle w:val="222"/>
        <w:numPr>
          <w:ilvl w:val="0"/>
          <w:numId w:val="0"/>
        </w:numPr>
        <w:spacing w:line="240" w:lineRule="auto"/>
        <w:ind w:leftChars="0"/>
        <w:jc w:val="both"/>
        <w:rPr>
          <w:rFonts w:hint="default" w:ascii="Arial" w:hAnsi="Arial" w:cs="Arial"/>
          <w:sz w:val="16"/>
          <w:szCs w:val="16"/>
        </w:rPr>
      </w:pPr>
    </w:p>
    <w:p w14:paraId="54D61499">
      <w:pPr>
        <w:pStyle w:val="222"/>
        <w:numPr>
          <w:ilvl w:val="1"/>
          <w:numId w:val="20"/>
        </w:numPr>
        <w:spacing w:line="240" w:lineRule="auto"/>
        <w:ind w:left="0" w:firstLine="0"/>
        <w:jc w:val="both"/>
        <w:rPr>
          <w:rFonts w:hint="default" w:ascii="Arial" w:hAnsi="Arial" w:cs="Arial"/>
          <w:sz w:val="16"/>
          <w:szCs w:val="16"/>
        </w:rPr>
      </w:pPr>
      <w:r>
        <w:rPr>
          <w:rFonts w:hint="default" w:ascii="Arial" w:hAnsi="Arial" w:cs="Arial"/>
          <w:sz w:val="16"/>
          <w:szCs w:val="16"/>
        </w:rPr>
        <w:t>Quantitativo mínimo previsto de cada item conforme Art. 28 §2° do Decreto Municipal 5.805/2023:</w:t>
      </w:r>
      <w:r>
        <w:rPr>
          <w:rFonts w:hint="default" w:ascii="Arial" w:hAnsi="Arial" w:cs="Arial"/>
          <w:sz w:val="16"/>
          <w:szCs w:val="16"/>
          <w:lang w:val="pt-BR"/>
        </w:rPr>
        <w:t xml:space="preserve"> 01 (um).</w:t>
      </w:r>
    </w:p>
    <w:p w14:paraId="3E435405">
      <w:pPr>
        <w:pStyle w:val="222"/>
        <w:numPr>
          <w:ilvl w:val="0"/>
          <w:numId w:val="0"/>
        </w:numPr>
        <w:suppressAutoHyphens/>
        <w:spacing w:line="240" w:lineRule="auto"/>
        <w:contextualSpacing/>
        <w:jc w:val="both"/>
        <w:rPr>
          <w:rFonts w:hint="default" w:ascii="Arial" w:hAnsi="Arial" w:cs="Arial"/>
          <w:sz w:val="17"/>
          <w:szCs w:val="17"/>
          <w:lang w:val="pt-BR"/>
        </w:rPr>
      </w:pPr>
    </w:p>
    <w:p w14:paraId="33B53864">
      <w:pPr>
        <w:spacing w:line="240" w:lineRule="auto"/>
        <w:jc w:val="both"/>
        <w:rPr>
          <w:rFonts w:hint="default" w:ascii="Arial" w:hAnsi="Arial" w:cs="Arial"/>
          <w:b/>
          <w:bCs/>
          <w:sz w:val="17"/>
          <w:szCs w:val="17"/>
          <w:lang w:val="pt-BR"/>
        </w:rPr>
      </w:pPr>
      <w:r>
        <w:rPr>
          <w:rFonts w:hint="default" w:ascii="Arial" w:hAnsi="Arial" w:cs="Arial"/>
          <w:b/>
          <w:bCs/>
          <w:sz w:val="17"/>
          <w:szCs w:val="17"/>
        </w:rPr>
        <w:t>CLÁUSULA SEGUNDA – CONDIÇÕES P</w:t>
      </w:r>
      <w:r>
        <w:rPr>
          <w:rFonts w:hint="default" w:ascii="Arial" w:hAnsi="Arial" w:cs="Arial"/>
          <w:b/>
          <w:bCs/>
          <w:sz w:val="17"/>
          <w:szCs w:val="17"/>
          <w:lang w:val="pt-BR"/>
        </w:rPr>
        <w:t>ARA EXECUÇÃO DOS SERVIÇOS</w:t>
      </w:r>
    </w:p>
    <w:p w14:paraId="7132A143">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b w:val="0"/>
          <w:bCs w:val="0"/>
          <w:sz w:val="17"/>
          <w:szCs w:val="17"/>
          <w:lang w:val="pt-BR"/>
        </w:rPr>
        <w:t>2</w:t>
      </w:r>
      <w:r>
        <w:rPr>
          <w:rFonts w:hint="default" w:ascii="Arial" w:hAnsi="Arial" w:eastAsia="Times New Roman"/>
          <w:b w:val="0"/>
          <w:bCs w:val="0"/>
          <w:sz w:val="17"/>
          <w:szCs w:val="17"/>
          <w:lang w:val="pt-BR"/>
        </w:rPr>
        <w:t>.1. O fornecimento de medicamentos manipulados será realizado de forma parcelada, conforme a necessidade da Administração, mediante emissão da Solicitação de Fornecimento pela Secretaria Municipal de Saúde, a qual conterá a identificação do paciente (quando aplicável), descrição da fórmula, composição, concentração, forma farmacêutica, quantitativos, local de entrega e demais informações necessárias ao atendimento das demandas judiciais.</w:t>
      </w:r>
    </w:p>
    <w:p w14:paraId="17F2BE0A">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.2. A Contratada deverá atender integralmente à Solicitação de Fornecimento emitida, observando rigorosamente as prescrições médicas e determinações judiciais, sendo vedada qualquer alteração na formulação, concentração, forma farmacêutica ou posologia, salvo mediante autorização expressa da Administração.</w:t>
      </w:r>
    </w:p>
    <w:p w14:paraId="428ACA5B">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.3. O prazo máximo para manipulação e entrega dos medicamentos será de até 10 (dez) dias corridos, contados a partir do recebimento da Solicitação de Fornecimento, salvo quando a decisão judicial estabelecer prazo diverso, hipótese em que este deverá ser rigorosamente cumprido.</w:t>
      </w:r>
    </w:p>
    <w:p w14:paraId="178D975E">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.4. Caso não seja possível o fornecimento no prazo estabelecido, a Contratada deverá comunicar formalmente à Administração, apresentando justificativa fundamentada, no prazo mínimo de 02 (dois) dias antes do término do prazo, para análise e eventual autorização de prorrogação, sem prejuízo das sanções cabíveis.</w:t>
      </w:r>
    </w:p>
    <w:p w14:paraId="786D48FB">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.5. Os medicamentos manipulados entregues que não atenderem às especificações técnicas, prescrições médicas, condições de qualidade, rotulagem, validade ou demais requisitos previstos neste Termo de Referência não serão aceitos, devendo ser substituídos pela Contratada no prazo máximo de 05 (cinco) dias, sem ônus adicional para a Administração.</w:t>
      </w:r>
    </w:p>
    <w:p w14:paraId="59D448BD">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.6. A entrega deverá ser acompanhada da respectiva nota fiscal, devidamente atestada, bem como de documentos que comprovem a regularidade sanitária da empresa e a observância das Boas Práticas de Manipulação, conforme normas da ANVISA.</w:t>
      </w:r>
    </w:p>
    <w:p w14:paraId="30381723">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.7. As entregas deverão ocorrer no horário compreendido entre 07h00 e 16h00, exclusivamente em dias úteis, no local indicado pela Secretaria Municipal de Saúde, salvo autorização expressa da Administração.</w:t>
      </w:r>
    </w:p>
    <w:p w14:paraId="151BF31B">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Rua: José Gustavo Cohen, nº 70, Bairro Vila Tereza, Cataguases – MG, CEP: 36.772-014.</w:t>
      </w:r>
    </w:p>
    <w:p w14:paraId="4280B543">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1DA3F1FB">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bCs/>
          <w:sz w:val="17"/>
          <w:szCs w:val="17"/>
        </w:rPr>
      </w:pPr>
      <w:r>
        <w:rPr>
          <w:rFonts w:hint="default" w:ascii="Arial" w:hAnsi="Arial" w:cs="Arial"/>
          <w:b/>
          <w:bCs/>
          <w:sz w:val="17"/>
          <w:szCs w:val="17"/>
        </w:rPr>
        <w:t xml:space="preserve">CLÁUSULA TERCEIRA </w:t>
      </w:r>
      <w:r>
        <w:rPr>
          <w:rFonts w:hint="default" w:cs="Arial"/>
          <w:b/>
          <w:bCs/>
          <w:sz w:val="17"/>
          <w:szCs w:val="17"/>
          <w:lang w:val="pt-BR"/>
        </w:rPr>
        <w:t>-</w:t>
      </w:r>
      <w:r>
        <w:rPr>
          <w:rFonts w:hint="default" w:ascii="Arial" w:hAnsi="Arial" w:cs="Arial"/>
          <w:b/>
          <w:bCs/>
          <w:sz w:val="17"/>
          <w:szCs w:val="17"/>
        </w:rPr>
        <w:t xml:space="preserve"> DA VALIDADE, FORMALIZAÇÃO DA ATA DE REGISTRO DE PREÇOS E CADASTRO RESERVA</w:t>
      </w:r>
    </w:p>
    <w:p w14:paraId="542840D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val="0"/>
          <w:bCs w:val="0"/>
          <w:sz w:val="17"/>
          <w:szCs w:val="17"/>
          <w:lang w:val="pt-BR"/>
        </w:rPr>
      </w:pPr>
      <w:r>
        <w:rPr>
          <w:rFonts w:hint="default" w:ascii="Arial" w:hAnsi="Arial" w:cs="Arial"/>
          <w:b w:val="0"/>
          <w:bCs w:val="0"/>
          <w:sz w:val="17"/>
          <w:szCs w:val="17"/>
        </w:rPr>
        <w:t>3.1. A presente Ata de Registro de Preços terá a validade de 12 (doze) meses, a partir d</w:t>
      </w:r>
      <w:r>
        <w:rPr>
          <w:rFonts w:hint="default" w:ascii="Arial" w:hAnsi="Arial" w:cs="Arial"/>
          <w:b w:val="0"/>
          <w:bCs w:val="0"/>
          <w:sz w:val="17"/>
          <w:szCs w:val="17"/>
          <w:lang w:val="pt-BR"/>
        </w:rPr>
        <w:t>e _____________ e término em __________________ podendo ser prorrogado conforme Lei Federal 14.133/2021.</w:t>
      </w:r>
    </w:p>
    <w:p w14:paraId="362A8DCD">
      <w:pPr>
        <w:spacing w:line="240" w:lineRule="auto"/>
        <w:jc w:val="both"/>
        <w:rPr>
          <w:rFonts w:hint="default" w:ascii="Arial" w:hAnsi="Arial" w:cs="Arial"/>
          <w:b/>
          <w:bCs/>
          <w:sz w:val="17"/>
          <w:szCs w:val="17"/>
        </w:rPr>
      </w:pPr>
      <w:r>
        <w:rPr>
          <w:rFonts w:hint="default" w:ascii="Arial" w:hAnsi="Arial" w:cs="Arial"/>
          <w:b w:val="0"/>
          <w:bCs w:val="0"/>
          <w:sz w:val="17"/>
          <w:szCs w:val="17"/>
        </w:rPr>
        <w:t>3.2. Durante o prazo de validade desta Ata de Registro de Preços, o Município de Cataguases não será obrigado a adquirir o serv</w:t>
      </w:r>
      <w:r>
        <w:rPr>
          <w:rFonts w:hint="default" w:ascii="Arial" w:hAnsi="Arial" w:cs="Arial"/>
          <w:bCs/>
          <w:sz w:val="17"/>
          <w:szCs w:val="17"/>
        </w:rPr>
        <w:t>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269D3766">
      <w:pPr>
        <w:spacing w:line="240" w:lineRule="auto"/>
        <w:jc w:val="both"/>
        <w:rPr>
          <w:rFonts w:hint="default" w:ascii="Arial" w:hAnsi="Arial" w:cs="Arial"/>
          <w:b/>
          <w:bCs/>
          <w:sz w:val="17"/>
          <w:szCs w:val="17"/>
        </w:rPr>
      </w:pPr>
    </w:p>
    <w:p w14:paraId="124C79B1">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5F637550">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CE6D753">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4.1.1 apresentação de justificativa da vantagem da adesão, inclusive em situações de provável desabastecimento ou descontinuidade de serviço público;</w:t>
      </w:r>
    </w:p>
    <w:p w14:paraId="41B75744">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4.1.2 demonstração de que os valores registrados estão compatíveis com os valores praticados pelo mercado na forma do art. 23 da Lei nº 14.133, de 2021; e</w:t>
      </w:r>
    </w:p>
    <w:p w14:paraId="774E02CC">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4.1.3 consulta e aceitação prévias do órgão ou da entidade gerenciadora e do fornecedor.</w:t>
      </w:r>
    </w:p>
    <w:p w14:paraId="123E8380">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4.2 A autorização do órgão ou entidade gerenciadora apenas será realizada após a aceitação da adesão pelo fornecedor.</w:t>
      </w:r>
    </w:p>
    <w:p w14:paraId="5BA56D5D">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4.3 O órgão ou entidade gerenciadora poderá rejeitar adesões caso elas possam acarretar prejuízo à execução de seus próprios contratos ou à sua capacidade de gerenciamento.</w:t>
      </w:r>
    </w:p>
    <w:p w14:paraId="146EBCA6">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19458769">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23A1F4E">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244C32F2">
      <w:pPr>
        <w:pStyle w:val="324"/>
        <w:spacing w:before="0" w:after="0" w:line="240" w:lineRule="auto"/>
        <w:rPr>
          <w:rFonts w:hint="default" w:ascii="Arial" w:hAnsi="Arial" w:cs="Arial"/>
          <w:b w:val="0"/>
          <w:bCs w:val="0"/>
          <w:iCs w:val="0"/>
          <w:sz w:val="17"/>
          <w:szCs w:val="17"/>
        </w:rPr>
      </w:pPr>
      <w:r>
        <w:rPr>
          <w:rFonts w:hint="default" w:ascii="Arial" w:hAnsi="Arial" w:cs="Arial"/>
          <w:b w:val="0"/>
          <w:bCs w:val="0"/>
          <w:iCs w:val="0"/>
          <w:sz w:val="17"/>
          <w:szCs w:val="17"/>
        </w:rPr>
        <w:t>4.7 Dos limites para as adesões</w:t>
      </w:r>
    </w:p>
    <w:p w14:paraId="2D1A7A42">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5BC2CB06">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CC0C548">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4.7.3 Para aquisição emergencial de medicamentos e material de consumo médico-hospitalar por órgãos e en</w:t>
      </w:r>
      <w:r>
        <w:rPr>
          <w:rFonts w:hint="default" w:ascii="Arial" w:hAnsi="Arial" w:eastAsia="Arial" w:cs="Arial"/>
          <w:b w:val="0"/>
          <w:bCs w:val="0"/>
          <w:i w:val="0"/>
          <w:iCs w:val="0"/>
          <w:color w:val="auto"/>
          <w:sz w:val="17"/>
          <w:szCs w:val="17"/>
        </w:rPr>
        <w:t>ti</w:t>
      </w:r>
      <w:r>
        <w:rPr>
          <w:rFonts w:hint="default" w:ascii="Arial" w:hAnsi="Arial" w:cs="Arial"/>
          <w:b w:val="0"/>
          <w:bCs w:val="0"/>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673AC302">
      <w:pPr>
        <w:pStyle w:val="305"/>
        <w:spacing w:before="0" w:after="0" w:line="240" w:lineRule="auto"/>
        <w:rPr>
          <w:rFonts w:hint="default" w:ascii="Arial" w:hAnsi="Arial" w:cs="Arial"/>
          <w:b w:val="0"/>
          <w:bCs w:val="0"/>
          <w:color w:val="auto"/>
          <w:sz w:val="17"/>
          <w:szCs w:val="17"/>
        </w:rPr>
      </w:pPr>
      <w:r>
        <w:rPr>
          <w:rFonts w:hint="default" w:ascii="Arial" w:hAnsi="Arial" w:cs="Arial"/>
          <w:b w:val="0"/>
          <w:bCs w:val="0"/>
          <w:color w:val="auto"/>
          <w:sz w:val="17"/>
          <w:szCs w:val="17"/>
        </w:rPr>
        <w:t>4.7.4 A adesão à ata de registro de preços por órgãos e en</w:t>
      </w:r>
      <w:r>
        <w:rPr>
          <w:rFonts w:hint="default" w:ascii="Arial" w:hAnsi="Arial" w:eastAsia="Arial" w:cs="Arial"/>
          <w:b w:val="0"/>
          <w:bCs w:val="0"/>
          <w:color w:val="auto"/>
          <w:sz w:val="17"/>
          <w:szCs w:val="17"/>
        </w:rPr>
        <w:t>ti</w:t>
      </w:r>
      <w:r>
        <w:rPr>
          <w:rFonts w:hint="default" w:ascii="Arial" w:hAnsi="Arial" w:cs="Arial"/>
          <w:b w:val="0"/>
          <w:bCs w:val="0"/>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b w:val="0"/>
          <w:bCs w:val="0"/>
          <w:color w:val="auto"/>
          <w:sz w:val="17"/>
          <w:szCs w:val="17"/>
        </w:rPr>
        <w:t>tinta</w:t>
      </w:r>
      <w:r>
        <w:rPr>
          <w:rFonts w:hint="default" w:ascii="Arial" w:hAnsi="Arial" w:cs="Arial"/>
          <w:b w:val="0"/>
          <w:bCs w:val="0"/>
          <w:color w:val="auto"/>
          <w:sz w:val="17"/>
          <w:szCs w:val="17"/>
        </w:rPr>
        <w:t>da à execução descentralizada de programa ou projeto federal e comprovada a compatibilidade dos preços registrados com os valores praticados no mercado na forma do art. 23 da Lei nº 14.133, de 2021.</w:t>
      </w:r>
    </w:p>
    <w:p w14:paraId="461F91D8">
      <w:pPr>
        <w:pStyle w:val="305"/>
        <w:spacing w:before="0" w:after="0" w:line="240" w:lineRule="auto"/>
        <w:rPr>
          <w:rFonts w:hint="default" w:ascii="Arial" w:hAnsi="Arial" w:cs="Arial"/>
          <w:b w:val="0"/>
          <w:bCs w:val="0"/>
          <w:sz w:val="17"/>
          <w:szCs w:val="17"/>
        </w:rPr>
      </w:pPr>
      <w:r>
        <w:rPr>
          <w:rFonts w:hint="default" w:ascii="Arial" w:hAnsi="Arial" w:cs="Arial"/>
          <w:b w:val="0"/>
          <w:bCs w:val="0"/>
          <w:sz w:val="17"/>
          <w:szCs w:val="17"/>
        </w:rPr>
        <w:t>4.8 Vedação a acréscimo de quantitativos</w:t>
      </w:r>
    </w:p>
    <w:p w14:paraId="787C1C01">
      <w:pPr>
        <w:pStyle w:val="305"/>
        <w:spacing w:before="0" w:after="0" w:line="240" w:lineRule="auto"/>
        <w:rPr>
          <w:rFonts w:hint="default" w:ascii="Arial" w:hAnsi="Arial" w:cs="Arial"/>
          <w:b w:val="0"/>
          <w:bCs w:val="0"/>
          <w:sz w:val="17"/>
          <w:szCs w:val="17"/>
        </w:rPr>
      </w:pPr>
      <w:r>
        <w:rPr>
          <w:rFonts w:hint="default" w:ascii="Arial" w:hAnsi="Arial" w:cs="Arial"/>
          <w:b w:val="0"/>
          <w:bCs w:val="0"/>
          <w:sz w:val="17"/>
          <w:szCs w:val="17"/>
        </w:rPr>
        <w:t>4.8.1 É vedado efetuar acréscimos nos quantitativos fixados na ata de registro de preços.</w:t>
      </w:r>
    </w:p>
    <w:p w14:paraId="18CAC352">
      <w:pPr>
        <w:pStyle w:val="305"/>
        <w:spacing w:before="0" w:after="0" w:line="240" w:lineRule="auto"/>
        <w:rPr>
          <w:rFonts w:hint="default" w:ascii="Arial" w:hAnsi="Arial" w:cs="Arial"/>
          <w:b/>
          <w:bCs/>
          <w:color w:val="auto"/>
          <w:sz w:val="17"/>
          <w:szCs w:val="17"/>
          <w:lang w:val="pt-BR"/>
        </w:rPr>
      </w:pPr>
      <w:r>
        <w:rPr>
          <w:rFonts w:hint="default" w:ascii="Arial" w:hAnsi="Arial" w:cs="Arial"/>
          <w:b w:val="0"/>
          <w:bCs w:val="0"/>
          <w:color w:val="auto"/>
          <w:sz w:val="17"/>
          <w:szCs w:val="17"/>
        </w:rPr>
        <w:t xml:space="preserve">4.9 O valor ofertado pela empresa signatária da presente Ata de Registro de Preços é o especificado no objeto desta Ata </w:t>
      </w:r>
      <w:r>
        <w:rPr>
          <w:rFonts w:hint="default" w:ascii="Arial" w:hAnsi="Arial" w:eastAsia="Calibri" w:cs="Arial"/>
          <w:b w:val="0"/>
          <w:bCs w:val="0"/>
          <w:color w:val="auto"/>
          <w:sz w:val="17"/>
          <w:szCs w:val="17"/>
          <w:lang w:eastAsia="en-US"/>
        </w:rPr>
        <w:t xml:space="preserve">sobre </w:t>
      </w:r>
      <w:r>
        <w:rPr>
          <w:rFonts w:hint="default" w:ascii="Arial" w:hAnsi="Arial" w:eastAsia="Calibri" w:cs="Arial"/>
          <w:color w:val="auto"/>
          <w:sz w:val="17"/>
          <w:szCs w:val="17"/>
          <w:lang w:eastAsia="en-US"/>
        </w:rPr>
        <w:t xml:space="preserve">proposta apresentada no </w:t>
      </w:r>
      <w:r>
        <w:rPr>
          <w:rFonts w:hint="default" w:ascii="Arial" w:hAnsi="Arial" w:cs="Arial"/>
          <w:b/>
          <w:bCs/>
          <w:color w:val="auto"/>
          <w:sz w:val="17"/>
          <w:szCs w:val="17"/>
        </w:rPr>
        <w:t>PREGÃO ELETRÔNICO PARA REGISTRO DE PREÇOS nº.</w:t>
      </w:r>
      <w:r>
        <w:rPr>
          <w:rFonts w:hint="default" w:ascii="Arial" w:hAnsi="Arial" w:cs="Arial"/>
          <w:b/>
          <w:bCs/>
          <w:color w:val="auto"/>
          <w:sz w:val="17"/>
          <w:szCs w:val="17"/>
          <w:lang w:val="pt-BR"/>
        </w:rPr>
        <w:t xml:space="preserve"> </w:t>
      </w:r>
      <w:r>
        <w:rPr>
          <w:rFonts w:hint="default" w:cs="Arial"/>
          <w:b/>
          <w:bCs/>
          <w:color w:val="auto"/>
          <w:sz w:val="17"/>
          <w:szCs w:val="17"/>
          <w:lang w:val="pt-BR"/>
        </w:rPr>
        <w:t>018/2026</w:t>
      </w:r>
    </w:p>
    <w:p w14:paraId="2179CB6F">
      <w:pPr>
        <w:spacing w:line="240" w:lineRule="auto"/>
        <w:jc w:val="both"/>
        <w:rPr>
          <w:rFonts w:hint="default" w:ascii="Arial" w:hAnsi="Arial" w:cs="Arial"/>
          <w:b/>
          <w:bCs/>
          <w:sz w:val="17"/>
          <w:szCs w:val="17"/>
        </w:rPr>
      </w:pPr>
    </w:p>
    <w:p w14:paraId="2B7945C2">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C8CBB50">
      <w:pPr>
        <w:pStyle w:val="222"/>
        <w:numPr>
          <w:ilvl w:val="2"/>
          <w:numId w:val="21"/>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Contratada:</w:t>
      </w:r>
    </w:p>
    <w:p w14:paraId="1CF718F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w:t>
      </w:r>
      <w:r>
        <w:rPr>
          <w:rFonts w:hint="default" w:ascii="Arial" w:hAnsi="Arial"/>
          <w:b w:val="0"/>
          <w:bCs/>
          <w:sz w:val="17"/>
          <w:szCs w:val="17"/>
          <w:lang w:val="pt-BR"/>
        </w:rPr>
        <w:t xml:space="preserve"> </w:t>
      </w:r>
      <w:r>
        <w:rPr>
          <w:rFonts w:hint="default" w:ascii="Arial" w:hAnsi="Arial"/>
          <w:b w:val="0"/>
          <w:bCs/>
          <w:sz w:val="17"/>
          <w:szCs w:val="17"/>
        </w:rPr>
        <w:t>A CONTRATADA deverá manipular e entregar os medicamentos no local indicado, no prazo de até 10 (dez) dias corridos contados a partir do recebimento da Solicitação de Fornecimento, observadas as especificações constantes na prescrição médica e/ou decisão judicial.</w:t>
      </w:r>
    </w:p>
    <w:p w14:paraId="0A54E85B">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.1.2. A CONTRATADA deverá fornecer os medicamentos manipulados conforme a descrição detalhada da fórmula, respeitando rigorosamente os princípios ativos, concentrações, forma farmacêutica e demais especificações técnicas.</w:t>
      </w:r>
    </w:p>
    <w:p w14:paraId="2922F47F">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.1.3. O recebimento definitivo não exime a Contratada de suas responsabilidades, nem afasta o direito da Administração de rejeitar, no todo ou em parte, os medicamentos que apresentem vícios, defeitos ou desconformidades com as especificações estabelecidas.</w:t>
      </w:r>
    </w:p>
    <w:p w14:paraId="43907A2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.1.4. A contratada deverá arcar com todos os ônus referentes à manipulação, transporte e entrega dos medicamentos.</w:t>
      </w:r>
    </w:p>
    <w:p w14:paraId="7921C9A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.1.5. A contratada deverá prestar informações e esclarecimentos que venham a ser solicitados pela contratante, especialmente quanto aos processos de manipulação e controle de qualidade.</w:t>
      </w:r>
    </w:p>
    <w:p w14:paraId="1C4C78B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.1.6. Assumir a responsabilidade pelos encargos fiscais e comerciais resultantes da adjudicação desta licitação.</w:t>
      </w:r>
    </w:p>
    <w:p w14:paraId="31A4190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.1.7. Submeter-se à fiscalização da contratante, bem como aos órgãos de vigilância sanitária, permitindo o acompanhamento das condições de manipulação, armazenamento e transporte, garantindo o cumprimento das normas sanitárias vigentes.</w:t>
      </w:r>
    </w:p>
    <w:p w14:paraId="6D95ABC6">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.1.8. Reparar, corrigir, refazer ou substituir, às suas expensas, no todo ou em parte, os medicamentos manipulados em que se verificarem vícios, defeitos, incorreções ou divergências em relação à prescrição.</w:t>
      </w:r>
    </w:p>
    <w:p w14:paraId="2F666657">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.1.9. Manter, durante toda a vigência do contrato, todas as condições de habilitação e qualificação exigidas, especialmente as relativas à regularidade sanitária e autorização de funcionamento.</w:t>
      </w:r>
    </w:p>
    <w:p w14:paraId="7E84AA6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.1.10. Efetuar a entrega dos medicamentos em perfeitas condições, conforme especificações, devidamente identificados e rotulados, acompanhados da respectiva nota fiscal, contendo informações como composição, concentração, lote, data de manipulação e prazo de validade.</w:t>
      </w:r>
    </w:p>
    <w:p w14:paraId="079F01A6">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.1.11. Comunicar à CONTRATANTE qualquer anormalidade de caráter urgente relacionada à manipulação ou fornecimento, prestando os esclarecimentos necessários.</w:t>
      </w:r>
    </w:p>
    <w:p w14:paraId="721F8386">
      <w:pPr>
        <w:numPr>
          <w:ilvl w:val="0"/>
          <w:numId w:val="0"/>
        </w:numPr>
        <w:tabs>
          <w:tab w:val="left" w:pos="480"/>
        </w:tabs>
        <w:spacing w:line="240" w:lineRule="auto"/>
        <w:ind w:leftChars="0"/>
        <w:jc w:val="both"/>
        <w:rPr>
          <w:rFonts w:hint="default" w:ascii="Arial" w:hAnsi="Arial"/>
          <w:b w:val="0"/>
          <w:bCs/>
          <w:sz w:val="17"/>
          <w:szCs w:val="17"/>
          <w:lang w:val="pt-BR"/>
        </w:rPr>
      </w:pPr>
      <w:r>
        <w:rPr>
          <w:rFonts w:hint="default" w:ascii="Arial" w:hAnsi="Arial"/>
          <w:b w:val="0"/>
          <w:bCs/>
          <w:sz w:val="17"/>
          <w:szCs w:val="17"/>
          <w:lang w:val="pt-BR"/>
        </w:rPr>
        <w:t>5</w:t>
      </w:r>
      <w:r>
        <w:rPr>
          <w:rFonts w:hint="default" w:ascii="Arial" w:hAnsi="Arial"/>
          <w:b w:val="0"/>
          <w:bCs/>
          <w:sz w:val="17"/>
          <w:szCs w:val="17"/>
        </w:rPr>
        <w:t>.1.12. Deverá constar na Nota Fiscal o número da Solicitação de Fornecimento ou número do empenho correspondente.</w:t>
      </w:r>
    </w:p>
    <w:p w14:paraId="7520C4A8">
      <w:pPr>
        <w:numPr>
          <w:ilvl w:val="0"/>
          <w:numId w:val="0"/>
        </w:numPr>
        <w:tabs>
          <w:tab w:val="left" w:pos="480"/>
        </w:tabs>
        <w:spacing w:line="240" w:lineRule="auto"/>
        <w:ind w:leftChars="0"/>
        <w:jc w:val="both"/>
        <w:rPr>
          <w:rFonts w:hint="default" w:ascii="Arial" w:hAnsi="Arial"/>
          <w:b w:val="0"/>
          <w:bCs/>
          <w:sz w:val="17"/>
          <w:szCs w:val="17"/>
        </w:rPr>
      </w:pPr>
    </w:p>
    <w:p w14:paraId="4077D581">
      <w:pPr>
        <w:pStyle w:val="222"/>
        <w:numPr>
          <w:ilvl w:val="2"/>
          <w:numId w:val="21"/>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Contratante:</w:t>
      </w:r>
    </w:p>
    <w:p w14:paraId="6FB4DE21">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5.2.1. Promover o acompanhamento e a fiscalização da entrega do objeto da aquisição.</w:t>
      </w:r>
    </w:p>
    <w:p w14:paraId="3421B70C">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5.2.2. Prestar informações, relativas ao objeto da aquisição, que venham a ser solicitadas pela licitante vencedora.</w:t>
      </w:r>
    </w:p>
    <w:p w14:paraId="153C0C03">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5.2.3. Efetuar o pagamento do valor constante na nota fiscal/fatura, em até 30 (trinta) dias consecutivos após o recebimento da mesma, devidamente atestada.</w:t>
      </w:r>
    </w:p>
    <w:p w14:paraId="216769BC">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5.2.4. Rejeitar o (s) produto (s) e/ou que não satisfizerem aos padrões exigidos nas especificações e recomendações da contratante.</w:t>
      </w:r>
    </w:p>
    <w:p w14:paraId="570DF83E">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5.2.5. Notificar a CONTRATADA, por escrito, quando não efetuar a entrega dos itens, após 15 (quinze) dias corridos da emissão da Solicitação de Fornecimento.</w:t>
      </w:r>
    </w:p>
    <w:p w14:paraId="6E6414A0">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5.2.6. Notificar a CONTRATADA, por escrito, de quaisquer irregularidades que venham a ocorrer, em função da prestação do objeto do contrato.</w:t>
      </w:r>
    </w:p>
    <w:p w14:paraId="6453F6C6">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5.2.7. Cumprir e fazer-se cumprir o disposto nas cláusulas deste Termo de Referência.</w:t>
      </w:r>
    </w:p>
    <w:p w14:paraId="6A914D3E">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5.2.8. Fornecer todos os elementos básicos e dados complementares à execução dos serviços ora licitados.</w:t>
      </w:r>
    </w:p>
    <w:p w14:paraId="24D7F66C">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46C12B60">
      <w:pPr>
        <w:pStyle w:val="280"/>
        <w:numPr>
          <w:ilvl w:val="0"/>
          <w:numId w:val="0"/>
        </w:numPr>
        <w:spacing w:before="0" w:line="240" w:lineRule="auto"/>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2AF0FB9C">
      <w:pPr>
        <w:pStyle w:val="305"/>
        <w:spacing w:before="0" w:after="0" w:line="240" w:lineRule="auto"/>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00EA6ADA">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4ADE82">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76662883">
      <w:pPr>
        <w:pStyle w:val="305"/>
        <w:spacing w:before="0" w:after="0" w:line="240" w:lineRule="auto"/>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498E7A6">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6D7A79D7">
      <w:pPr>
        <w:pStyle w:val="305"/>
        <w:spacing w:before="0" w:after="0" w:line="240" w:lineRule="auto"/>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725CC8FC">
      <w:pPr>
        <w:pStyle w:val="305"/>
        <w:spacing w:before="0" w:after="0" w:line="240" w:lineRule="auto"/>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71B2D048">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7" w:name="cadastro_reserva"/>
      <w:bookmarkEnd w:id="47"/>
    </w:p>
    <w:p w14:paraId="67DE2512">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0D34B9A9">
      <w:pPr>
        <w:pStyle w:val="305"/>
        <w:spacing w:before="0" w:after="0" w:line="240" w:lineRule="auto"/>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60DA865D">
      <w:pPr>
        <w:pStyle w:val="305"/>
        <w:spacing w:before="0" w:after="0" w:line="240" w:lineRule="auto"/>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8" w:name="habilitacao_reserva"/>
      <w:bookmarkEnd w:id="48"/>
    </w:p>
    <w:p w14:paraId="7F32DFB2">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CACFDB9">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4C45BD58">
      <w:pPr>
        <w:pStyle w:val="305"/>
        <w:spacing w:before="0" w:after="0" w:line="240" w:lineRule="auto"/>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7A0A09">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744D1F20">
      <w:pPr>
        <w:pStyle w:val="305"/>
        <w:spacing w:before="0" w:after="0" w:line="240" w:lineRule="auto"/>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5773CA86">
      <w:pPr>
        <w:pStyle w:val="305"/>
        <w:spacing w:before="0" w:after="0" w:line="240" w:lineRule="auto"/>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7D583F0F">
      <w:pPr>
        <w:pStyle w:val="305"/>
        <w:spacing w:before="0" w:after="0" w:line="240" w:lineRule="auto"/>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190A2864">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150B1986">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08D03816">
      <w:pPr>
        <w:spacing w:line="240" w:lineRule="auto"/>
        <w:jc w:val="both"/>
        <w:rPr>
          <w:rFonts w:hint="default" w:ascii="Arial" w:hAnsi="Arial" w:cs="Arial"/>
          <w:b/>
          <w:bCs/>
          <w:sz w:val="17"/>
          <w:szCs w:val="17"/>
        </w:rPr>
      </w:pPr>
    </w:p>
    <w:p w14:paraId="1C94E0B0">
      <w:pPr>
        <w:spacing w:line="240" w:lineRule="auto"/>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1AAA4D0B">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7.1</w:t>
      </w:r>
      <w:r>
        <w:rPr>
          <w:rFonts w:hint="default" w:ascii="Arial" w:hAnsi="Arial" w:cs="Arial"/>
          <w:b w:val="0"/>
          <w:bCs/>
          <w:color w:val="000000" w:themeColor="text1"/>
          <w:sz w:val="17"/>
          <w:szCs w:val="17"/>
          <w:lang w:val="pt-BR"/>
          <w14:textFill>
            <w14:solidFill>
              <w14:schemeClr w14:val="tx1"/>
            </w14:solidFill>
          </w14:textFill>
        </w:rPr>
        <w:t>.</w:t>
      </w:r>
      <w:r>
        <w:rPr>
          <w:rFonts w:hint="default" w:ascii="Arial" w:hAnsi="Arial" w:cs="Arial"/>
          <w:b w:val="0"/>
          <w:bCs/>
          <w:color w:val="000000" w:themeColor="text1"/>
          <w:sz w:val="17"/>
          <w:szCs w:val="17"/>
          <w14:textFill>
            <w14:solidFill>
              <w14:schemeClr w14:val="tx1"/>
            </w14:solidFill>
          </w14:textFill>
        </w:rPr>
        <w:t xml:space="preserve"> A dotação orçamentária destintada ao pagamento do objeto licitado </w:t>
      </w:r>
      <w:r>
        <w:rPr>
          <w:rFonts w:hint="default" w:ascii="Arial" w:hAnsi="Arial" w:cs="Arial"/>
          <w:b w:val="0"/>
          <w:bCs/>
          <w:color w:val="000000" w:themeColor="text1"/>
          <w:sz w:val="17"/>
          <w:szCs w:val="17"/>
          <w:lang w:val="pt-BR"/>
          <w14:textFill>
            <w14:solidFill>
              <w14:schemeClr w14:val="tx1"/>
            </w14:solidFill>
          </w14:textFill>
        </w:rPr>
        <w:t>será</w:t>
      </w:r>
      <w:r>
        <w:rPr>
          <w:rFonts w:hint="default" w:ascii="Arial" w:hAnsi="Arial" w:cs="Arial"/>
          <w:b w:val="0"/>
          <w:bCs/>
          <w:color w:val="000000" w:themeColor="text1"/>
          <w:sz w:val="17"/>
          <w:szCs w:val="17"/>
          <w14:textFill>
            <w14:solidFill>
              <w14:schemeClr w14:val="tx1"/>
            </w14:solidFill>
          </w14:textFill>
        </w:rPr>
        <w:t xml:space="preserve"> prevista e indicada </w:t>
      </w:r>
      <w:r>
        <w:rPr>
          <w:rFonts w:hint="default" w:ascii="Arial" w:hAnsi="Arial" w:cs="Arial"/>
          <w:b w:val="0"/>
          <w:bCs/>
          <w:color w:val="000000" w:themeColor="text1"/>
          <w:sz w:val="17"/>
          <w:szCs w:val="17"/>
          <w:lang w:val="pt-BR"/>
          <w14:textFill>
            <w14:solidFill>
              <w14:schemeClr w14:val="tx1"/>
            </w14:solidFill>
          </w14:textFill>
        </w:rPr>
        <w:t>na autorização de fornecimento, nota de empenho ou futuro contrato</w:t>
      </w:r>
      <w:r>
        <w:rPr>
          <w:rFonts w:hint="default" w:ascii="Arial" w:hAnsi="Arial" w:cs="Arial"/>
          <w:b w:val="0"/>
          <w:bCs/>
          <w:color w:val="000000" w:themeColor="text1"/>
          <w:sz w:val="17"/>
          <w:szCs w:val="17"/>
          <w14:textFill>
            <w14:solidFill>
              <w14:schemeClr w14:val="tx1"/>
            </w14:solidFill>
          </w14:textFill>
        </w:rPr>
        <w:t xml:space="preserve"> pela área competente da Prefeitura Municipal de Cataguases, sob o número: </w:t>
      </w:r>
    </w:p>
    <w:p w14:paraId="1A7294D9">
      <w:pPr>
        <w:spacing w:line="240" w:lineRule="auto"/>
        <w:jc w:val="both"/>
        <w:rPr>
          <w:rFonts w:hint="default" w:ascii="Arial" w:hAnsi="Arial" w:cs="Arial"/>
          <w:b/>
          <w:bCs w:val="0"/>
          <w:color w:val="000000" w:themeColor="text1"/>
          <w:sz w:val="17"/>
          <w:szCs w:val="17"/>
          <w14:textFill>
            <w14:solidFill>
              <w14:schemeClr w14:val="tx1"/>
            </w14:solidFill>
          </w14:textFill>
        </w:rPr>
      </w:pPr>
      <w:r>
        <w:rPr>
          <w:rFonts w:hint="default" w:ascii="Arial" w:hAnsi="Arial" w:cs="Arial"/>
          <w:b/>
          <w:bCs w:val="0"/>
          <w:color w:val="000000" w:themeColor="text1"/>
          <w:sz w:val="17"/>
          <w:szCs w:val="17"/>
          <w14:textFill>
            <w14:solidFill>
              <w14:schemeClr w14:val="tx1"/>
            </w14:solidFill>
          </w14:textFill>
        </w:rPr>
        <w:t xml:space="preserve">02.008 – Secretaria de Saúde </w:t>
      </w:r>
    </w:p>
    <w:p w14:paraId="515A5CCD">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 xml:space="preserve">10.122 - 0.008 – Cumprimento de Sentenças Judiciais na Área da Saúde. </w:t>
      </w:r>
    </w:p>
    <w:p w14:paraId="4CCD80E8">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3.3.90.91.00.00.00.00 - 1.500 – Sentenças Judiciais (Ficha 330)</w:t>
      </w:r>
    </w:p>
    <w:p w14:paraId="18C57C0F">
      <w:pPr>
        <w:spacing w:line="240" w:lineRule="auto"/>
        <w:jc w:val="both"/>
        <w:rPr>
          <w:rFonts w:hint="default" w:ascii="Arial" w:hAnsi="Arial" w:cs="Arial"/>
          <w:b/>
          <w:bCs w:val="0"/>
          <w:color w:val="000000" w:themeColor="text1"/>
          <w:sz w:val="17"/>
          <w:szCs w:val="17"/>
          <w14:textFill>
            <w14:solidFill>
              <w14:schemeClr w14:val="tx1"/>
            </w14:solidFill>
          </w14:textFill>
        </w:rPr>
      </w:pPr>
      <w:r>
        <w:rPr>
          <w:rFonts w:hint="default" w:ascii="Arial" w:hAnsi="Arial" w:cs="Arial"/>
          <w:b/>
          <w:bCs w:val="0"/>
          <w:color w:val="000000" w:themeColor="text1"/>
          <w:sz w:val="17"/>
          <w:szCs w:val="17"/>
          <w14:textFill>
            <w14:solidFill>
              <w14:schemeClr w14:val="tx1"/>
            </w14:solidFill>
          </w14:textFill>
        </w:rPr>
        <w:t xml:space="preserve">02.009 – Fundo Municipal de Saúde </w:t>
      </w:r>
    </w:p>
    <w:p w14:paraId="5A632F3C">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10.301 - 2.083–Manutenção e Coordenação das Atividades da Atenção Básica</w:t>
      </w:r>
    </w:p>
    <w:p w14:paraId="42F12805">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3.3.90.30.00.00.00.00 - 1.600 – Material de Consumo (Ficha 388)</w:t>
      </w:r>
    </w:p>
    <w:p w14:paraId="0946BA78">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 xml:space="preserve">10.302 - 2.084– Manutenção e Coordenação das Atividades da Média e Alta  Complexidade Ambulatorial </w:t>
      </w:r>
    </w:p>
    <w:p w14:paraId="4E631468">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3.3.90.30.00.00.00.00 - 1.600 – Material de Consumo (Ficha 412)</w:t>
      </w:r>
    </w:p>
    <w:p w14:paraId="3DD3B966">
      <w:pPr>
        <w:spacing w:line="240" w:lineRule="auto"/>
        <w:jc w:val="both"/>
        <w:rPr>
          <w:rFonts w:hint="default" w:ascii="Arial" w:hAnsi="Arial" w:cs="Arial"/>
          <w:b w:val="0"/>
          <w:bCs/>
          <w:sz w:val="17"/>
          <w:szCs w:val="17"/>
        </w:rPr>
      </w:pPr>
      <w:r>
        <w:rPr>
          <w:rFonts w:hint="default" w:ascii="Arial" w:hAnsi="Arial" w:cs="Arial"/>
          <w:b w:val="0"/>
          <w:bCs/>
          <w:sz w:val="17"/>
          <w:szCs w:val="17"/>
        </w:rPr>
        <w:t>7.2 – O pagamento decorrente da concretização desta licitação será efetuado pelo Setor Financeiro da Prefeitura Municipal de Cataguases por processo legal, no prazo de 30 (trinta) dias corridos após a apresentação da Nota Fiscal, mediante a apresentação da regularidade fiscal junto ao INSS FGTS, RECEITA FEDERAL, ESTADUAL E MUNICIPAL.</w:t>
      </w:r>
    </w:p>
    <w:p w14:paraId="03EC92CE">
      <w:pPr>
        <w:jc w:val="both"/>
        <w:rPr>
          <w:rFonts w:hint="default" w:ascii="Arial" w:hAnsi="Arial" w:cs="Arial"/>
          <w:b w:val="0"/>
          <w:bCs/>
          <w:sz w:val="17"/>
          <w:szCs w:val="17"/>
        </w:rPr>
      </w:pPr>
      <w:r>
        <w:rPr>
          <w:rFonts w:hint="default" w:ascii="Arial" w:hAnsi="Arial" w:cs="Arial"/>
          <w:b w:val="0"/>
          <w:bCs/>
          <w:sz w:val="17"/>
          <w:szCs w:val="17"/>
          <w:u w:val="single"/>
          <w:lang w:val="pt-BR"/>
        </w:rPr>
        <w:t>7.2.1 A responsabilidade para verificação das certidões de regularidade fiscal e trabalhista cabe ao fiscal do contrato. A assinatura no verso da nota atesta a regularidade e obrigações cumpridas pela empresa.</w:t>
      </w:r>
    </w:p>
    <w:p w14:paraId="763934CE">
      <w:pPr>
        <w:pStyle w:val="222"/>
        <w:keepLines w:val="0"/>
        <w:pageBreakBefore w:val="0"/>
        <w:kinsoku/>
        <w:wordWrap/>
        <w:overflowPunct/>
        <w:topLinePunct w:val="0"/>
        <w:bidi w:val="0"/>
        <w:adjustRightInd/>
        <w:snapToGrid/>
        <w:spacing w:line="240" w:lineRule="auto"/>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7.2.2 A empresa fica desobrigada a apresentar os documentos acima, desde que as certidões estejam válidas no SICAF, onde o contratante poderá consultar.</w:t>
      </w:r>
    </w:p>
    <w:p w14:paraId="4A0CA59E">
      <w:pPr>
        <w:pStyle w:val="305"/>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rPr>
      </w:pPr>
      <w:r>
        <w:rPr>
          <w:rFonts w:hint="default" w:ascii="Arial" w:hAnsi="Arial" w:cs="Arial"/>
          <w:b w:val="0"/>
          <w:bCs/>
          <w:sz w:val="17"/>
          <w:szCs w:val="17"/>
          <w:u w:val="none"/>
          <w:lang w:val="pt-BR"/>
        </w:rPr>
        <w:t>7.2.</w:t>
      </w:r>
      <w:r>
        <w:rPr>
          <w:rFonts w:hint="default" w:cs="Arial"/>
          <w:b w:val="0"/>
          <w:bCs/>
          <w:sz w:val="17"/>
          <w:szCs w:val="17"/>
          <w:u w:val="none"/>
          <w:lang w:val="pt-BR"/>
        </w:rPr>
        <w:t>3</w:t>
      </w:r>
      <w:r>
        <w:rPr>
          <w:rFonts w:hint="default" w:ascii="Arial" w:hAnsi="Arial" w:cs="Arial"/>
          <w:b w:val="0"/>
          <w:bCs/>
          <w:sz w:val="17"/>
          <w:szCs w:val="17"/>
          <w:u w:val="none"/>
          <w:lang w:val="pt-BR"/>
        </w:rPr>
        <w:t xml:space="preserve">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6"/>
          <w:rFonts w:hint="default" w:ascii="Arial" w:hAnsi="Arial" w:cs="Arial"/>
          <w:b w:val="0"/>
          <w:bCs/>
          <w:sz w:val="17"/>
          <w:szCs w:val="17"/>
          <w:u w:val="none"/>
        </w:rPr>
        <w:t xml:space="preserve">IN nº 3/2018, art. 7º, </w:t>
      </w:r>
      <w:r>
        <w:rPr>
          <w:rStyle w:val="326"/>
          <w:rFonts w:hint="default" w:ascii="Arial" w:hAnsi="Arial" w:cs="Arial"/>
          <w:b w:val="0"/>
          <w:bCs/>
          <w:i/>
          <w:iCs/>
          <w:sz w:val="17"/>
          <w:szCs w:val="17"/>
          <w:u w:val="none"/>
        </w:rPr>
        <w:t>caput</w:t>
      </w:r>
      <w:r>
        <w:rPr>
          <w:rStyle w:val="326"/>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17E00F3D">
      <w:pPr>
        <w:spacing w:line="240" w:lineRule="auto"/>
        <w:jc w:val="both"/>
        <w:rPr>
          <w:rFonts w:hint="default" w:ascii="Arial" w:hAnsi="Arial" w:cs="Arial"/>
          <w:b w:val="0"/>
          <w:bCs/>
          <w:sz w:val="17"/>
          <w:szCs w:val="17"/>
        </w:rPr>
      </w:pPr>
      <w:r>
        <w:rPr>
          <w:rFonts w:hint="default" w:ascii="Arial" w:hAnsi="Arial" w:cs="Arial"/>
          <w:b w:val="0"/>
          <w:bCs/>
          <w:sz w:val="17"/>
          <w:szCs w:val="17"/>
        </w:rPr>
        <w:t>7.3</w:t>
      </w:r>
      <w:r>
        <w:rPr>
          <w:rFonts w:hint="default" w:ascii="Arial" w:hAnsi="Arial" w:cs="Arial"/>
          <w:b w:val="0"/>
          <w:bCs/>
          <w:sz w:val="17"/>
          <w:szCs w:val="17"/>
          <w:lang w:val="pt-BR"/>
        </w:rPr>
        <w:t>.</w:t>
      </w:r>
      <w:r>
        <w:rPr>
          <w:rFonts w:hint="default" w:ascii="Arial" w:hAnsi="Arial" w:cs="Arial"/>
          <w:b w:val="0"/>
          <w:bCs/>
          <w:sz w:val="17"/>
          <w:szCs w:val="17"/>
        </w:rPr>
        <w:t xml:space="preserve">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4E19FA15">
      <w:pPr>
        <w:spacing w:line="240" w:lineRule="auto"/>
        <w:jc w:val="both"/>
        <w:rPr>
          <w:rFonts w:hint="default" w:ascii="Arial" w:hAnsi="Arial" w:cs="Arial"/>
          <w:b w:val="0"/>
          <w:bCs/>
          <w:sz w:val="17"/>
          <w:szCs w:val="17"/>
        </w:rPr>
      </w:pPr>
      <w:r>
        <w:rPr>
          <w:rFonts w:hint="default" w:ascii="Arial" w:hAnsi="Arial" w:cs="Arial"/>
          <w:b w:val="0"/>
          <w:bCs/>
          <w:sz w:val="17"/>
          <w:szCs w:val="17"/>
        </w:rPr>
        <w:t>7.4</w:t>
      </w:r>
      <w:r>
        <w:rPr>
          <w:rFonts w:hint="default" w:ascii="Arial" w:hAnsi="Arial" w:cs="Arial"/>
          <w:b w:val="0"/>
          <w:bCs/>
          <w:sz w:val="17"/>
          <w:szCs w:val="17"/>
          <w:lang w:val="pt-BR"/>
        </w:rPr>
        <w:t>.</w:t>
      </w:r>
      <w:r>
        <w:rPr>
          <w:rFonts w:hint="default" w:ascii="Arial" w:hAnsi="Arial" w:cs="Arial"/>
          <w:b w:val="0"/>
          <w:bCs/>
          <w:sz w:val="17"/>
          <w:szCs w:val="17"/>
        </w:rPr>
        <w:t xml:space="preserve"> Quando for constatada qualquer irregularidade na Nota Fiscal/Fatura, será imediatamente solicitada à empresa adjudicatária carta de correção quando couber, ou ainda pertinente regularização, que deverá ser encaminhada no prazo de 2 (dois) dias úteis;</w:t>
      </w:r>
    </w:p>
    <w:p w14:paraId="7450998D">
      <w:pPr>
        <w:spacing w:line="240" w:lineRule="auto"/>
        <w:jc w:val="both"/>
        <w:rPr>
          <w:rFonts w:hint="default" w:ascii="Arial" w:hAnsi="Arial" w:cs="Arial"/>
          <w:b w:val="0"/>
          <w:bCs/>
          <w:sz w:val="17"/>
          <w:szCs w:val="17"/>
        </w:rPr>
      </w:pPr>
      <w:r>
        <w:rPr>
          <w:rFonts w:hint="default" w:ascii="Arial" w:hAnsi="Arial" w:cs="Arial"/>
          <w:b w:val="0"/>
          <w:bCs/>
          <w:sz w:val="17"/>
          <w:szCs w:val="17"/>
        </w:rPr>
        <w:t>7.5</w:t>
      </w:r>
      <w:r>
        <w:rPr>
          <w:rFonts w:hint="default" w:ascii="Arial" w:hAnsi="Arial" w:cs="Arial"/>
          <w:b w:val="0"/>
          <w:bCs/>
          <w:sz w:val="17"/>
          <w:szCs w:val="17"/>
          <w:lang w:val="pt-BR"/>
        </w:rPr>
        <w:t>.</w:t>
      </w:r>
      <w:r>
        <w:rPr>
          <w:rFonts w:hint="default" w:ascii="Arial" w:hAnsi="Arial" w:cs="Arial"/>
          <w:b w:val="0"/>
          <w:bCs/>
          <w:sz w:val="17"/>
          <w:szCs w:val="17"/>
        </w:rPr>
        <w:t xml:space="preserve"> Caso a contratada não apresente carta de correção no prazo estipulado, o prazo para pagamento será recontado, a partir da data da sua apresentação.</w:t>
      </w:r>
    </w:p>
    <w:p w14:paraId="6A87FA93">
      <w:pPr>
        <w:spacing w:line="240" w:lineRule="auto"/>
        <w:jc w:val="both"/>
        <w:rPr>
          <w:rFonts w:hint="default" w:ascii="Arial" w:hAnsi="Arial" w:cs="Arial"/>
          <w:b w:val="0"/>
          <w:bCs/>
          <w:sz w:val="17"/>
          <w:szCs w:val="17"/>
        </w:rPr>
      </w:pPr>
      <w:r>
        <w:rPr>
          <w:rFonts w:hint="default" w:ascii="Arial" w:hAnsi="Arial" w:cs="Arial"/>
          <w:b w:val="0"/>
          <w:bCs/>
          <w:color w:val="000000"/>
          <w:sz w:val="17"/>
          <w:szCs w:val="17"/>
        </w:rPr>
        <w:t>7.6</w:t>
      </w:r>
      <w:r>
        <w:rPr>
          <w:rFonts w:hint="default" w:ascii="Arial" w:hAnsi="Arial" w:cs="Arial"/>
          <w:b w:val="0"/>
          <w:bCs/>
          <w:color w:val="000000"/>
          <w:sz w:val="17"/>
          <w:szCs w:val="17"/>
          <w:lang w:val="pt-BR"/>
        </w:rPr>
        <w:t>.</w:t>
      </w:r>
      <w:r>
        <w:rPr>
          <w:rFonts w:hint="default" w:ascii="Arial" w:hAnsi="Arial" w:cs="Arial"/>
          <w:b w:val="0"/>
          <w:bCs/>
          <w:color w:val="000000"/>
          <w:sz w:val="17"/>
          <w:szCs w:val="17"/>
        </w:rPr>
        <w:t xml:space="preserve"> Atender as exigências conforme Decreto 5.811/2023</w:t>
      </w:r>
    </w:p>
    <w:p w14:paraId="4BF6153F">
      <w:pPr>
        <w:spacing w:line="240" w:lineRule="auto"/>
        <w:jc w:val="both"/>
        <w:rPr>
          <w:rFonts w:hint="default" w:ascii="Arial" w:hAnsi="Arial" w:cs="Arial"/>
          <w:sz w:val="17"/>
          <w:szCs w:val="17"/>
        </w:rPr>
      </w:pPr>
    </w:p>
    <w:p w14:paraId="01283C7C">
      <w:pPr>
        <w:spacing w:line="240" w:lineRule="auto"/>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2C36FFFC">
      <w:pPr>
        <w:pStyle w:val="305"/>
        <w:numPr>
          <w:ilvl w:val="0"/>
          <w:numId w:val="0"/>
        </w:numPr>
        <w:tabs>
          <w:tab w:val="left" w:pos="567"/>
        </w:tabs>
        <w:autoSpaceDE w:val="0"/>
        <w:autoSpaceDN w:val="0"/>
        <w:adjustRightInd w:val="0"/>
        <w:spacing w:before="0" w:after="0" w:line="240" w:lineRule="auto"/>
        <w:ind w:leftChars="0"/>
        <w:rPr>
          <w:rFonts w:hint="default" w:ascii="Arial" w:hAnsi="Arial" w:eastAsia="Times New Roman" w:cs="Arial"/>
          <w:b w:val="0"/>
          <w:bCs/>
          <w:color w:val="auto"/>
          <w:sz w:val="17"/>
          <w:szCs w:val="17"/>
          <w:lang w:val="pt-BR" w:eastAsia="pt-BR" w:bidi="ar-SA"/>
        </w:rPr>
      </w:pPr>
      <w:r>
        <w:rPr>
          <w:rFonts w:hint="default" w:eastAsia="Times New Roman" w:cs="Arial"/>
          <w:b w:val="0"/>
          <w:bCs/>
          <w:color w:val="auto"/>
          <w:sz w:val="17"/>
          <w:szCs w:val="17"/>
          <w:lang w:val="en-US" w:eastAsia="pt-BR" w:bidi="ar-SA"/>
        </w:rPr>
        <w:t xml:space="preserve">8.1. </w:t>
      </w:r>
      <w:r>
        <w:rPr>
          <w:rFonts w:hint="default" w:ascii="Arial" w:hAnsi="Arial" w:eastAsia="Times New Roman" w:cs="Arial"/>
          <w:b w:val="0"/>
          <w:bCs/>
          <w:color w:val="auto"/>
          <w:sz w:val="17"/>
          <w:szCs w:val="17"/>
          <w:lang w:val="pt-BR" w:eastAsia="pt-BR" w:bidi="ar-SA"/>
        </w:rPr>
        <w:t>Na hipótese de o preço registrado tornar-se superior ao preço praticado no mercado por motivo superveniente, o órgão ou entidade gerenciadora convocará o fornecedor para negociar a redução do preço registrado.</w:t>
      </w:r>
    </w:p>
    <w:p w14:paraId="22FB669C">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8.1.1. </w:t>
      </w:r>
      <w:r>
        <w:rPr>
          <w:rFonts w:hint="default" w:ascii="Arial" w:hAnsi="Arial" w:cs="Arial"/>
          <w:sz w:val="17"/>
          <w:szCs w:val="17"/>
        </w:rPr>
        <w:t>Caso não aceite reduzir seu preço aos valores pra</w:t>
      </w:r>
      <w:r>
        <w:rPr>
          <w:rFonts w:hint="default" w:ascii="Arial" w:hAnsi="Arial" w:eastAsia="Calibri" w:cs="Arial"/>
          <w:sz w:val="17"/>
          <w:szCs w:val="17"/>
        </w:rPr>
        <w:t>ti</w:t>
      </w:r>
      <w:r>
        <w:rPr>
          <w:rFonts w:hint="default" w:ascii="Arial" w:hAnsi="Arial" w:cs="Arial"/>
          <w:sz w:val="17"/>
          <w:szCs w:val="17"/>
        </w:rPr>
        <w:t>cados pelo mercado, o fornecedor será liberado do compromisso assumido quanto ao item registrado, sem aplicação de penalidades administrativas.</w:t>
      </w:r>
    </w:p>
    <w:p w14:paraId="4AE932AE">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8.1.2. </w:t>
      </w:r>
      <w:r>
        <w:rPr>
          <w:rFonts w:hint="default" w:ascii="Arial" w:hAnsi="Arial" w:cs="Arial"/>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BB75D9">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8.1.3. </w:t>
      </w:r>
      <w:r>
        <w:rPr>
          <w:rFonts w:hint="default" w:ascii="Arial" w:hAnsi="Arial" w:cs="Arial"/>
          <w:sz w:val="17"/>
          <w:szCs w:val="17"/>
        </w:rPr>
        <w:t>Se não obtiver êxito nas negociações, o órgão ou en</w:t>
      </w:r>
      <w:r>
        <w:rPr>
          <w:rFonts w:hint="default" w:ascii="Arial" w:hAnsi="Arial" w:eastAsia="Calibri" w:cs="Arial"/>
          <w:sz w:val="17"/>
          <w:szCs w:val="17"/>
        </w:rPr>
        <w:t>tid</w:t>
      </w:r>
      <w:r>
        <w:rPr>
          <w:rFonts w:hint="default" w:ascii="Arial" w:hAnsi="Arial" w:cs="Arial"/>
          <w:sz w:val="17"/>
          <w:szCs w:val="17"/>
        </w:rPr>
        <w:t>ade gerenciadora procederá ao cancelamento da ata de registro de preços, adotando as medidas cabíveis para obtenção de contratação mais vantajosa.</w:t>
      </w:r>
      <w:bookmarkStart w:id="50" w:name="reducao_preco_mercado_negociacao_frustra"/>
      <w:bookmarkEnd w:id="50"/>
    </w:p>
    <w:p w14:paraId="5C41868D">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8.1.4. </w:t>
      </w:r>
      <w:r>
        <w:rPr>
          <w:rFonts w:hint="default" w:ascii="Arial" w:hAnsi="Arial" w:cs="Arial"/>
          <w:sz w:val="17"/>
          <w:szCs w:val="17"/>
        </w:rPr>
        <w:t>Na hipótese de redução do preço registrado, o gerenciador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7A0E19B0">
      <w:pPr>
        <w:pStyle w:val="305"/>
        <w:numPr>
          <w:ilvl w:val="0"/>
          <w:numId w:val="0"/>
        </w:numPr>
        <w:tabs>
          <w:tab w:val="left" w:pos="567"/>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8.2 </w:t>
      </w:r>
      <w:r>
        <w:rPr>
          <w:rFonts w:hint="default" w:ascii="Arial" w:hAnsi="Arial" w:cs="Arial"/>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1" w:name="hipotese_preco_mercado_maior"/>
      <w:bookmarkEnd w:id="51"/>
    </w:p>
    <w:p w14:paraId="7C1E634C">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8.2.1. </w:t>
      </w:r>
      <w:r>
        <w:rPr>
          <w:rFonts w:hint="default" w:ascii="Arial" w:hAnsi="Arial" w:cs="Arial"/>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2" w:name="prova_preco_mercado_maior"/>
      <w:bookmarkEnd w:id="52"/>
    </w:p>
    <w:p w14:paraId="3B493554">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8.2.2. </w:t>
      </w:r>
      <w:r>
        <w:rPr>
          <w:rFonts w:hint="default" w:ascii="Arial" w:hAnsi="Arial" w:cs="Arial"/>
          <w:sz w:val="17"/>
          <w:szCs w:val="17"/>
        </w:rPr>
        <w:t>Não hipótese de não comprovação da existência de fato superveniente que inviabilize o preço registrado, o pedido será indeferido pelo órgão ou en</w:t>
      </w:r>
      <w:r>
        <w:rPr>
          <w:rFonts w:hint="default" w:ascii="Arial" w:hAnsi="Arial" w:eastAsia="Calibri" w:cs="Arial"/>
          <w:sz w:val="17"/>
          <w:szCs w:val="17"/>
        </w:rPr>
        <w:t>ti</w:t>
      </w:r>
      <w:r>
        <w:rPr>
          <w:rFonts w:hint="default" w:ascii="Arial" w:hAnsi="Arial" w:cs="Arial"/>
          <w:sz w:val="17"/>
          <w:szCs w:val="17"/>
        </w:rPr>
        <w:t xml:space="preserve">dade gerenciadora e o fornecedor deverá cumprir as obrigações estabelecidas na ata, sob pena de cancelamento do seu registro,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9.1</w:t>
      </w:r>
      <w:r>
        <w:rPr>
          <w:rFonts w:hint="default" w:ascii="Arial" w:hAnsi="Arial" w:cs="Arial"/>
          <w:sz w:val="17"/>
          <w:szCs w:val="17"/>
        </w:rPr>
        <w:fldChar w:fldCharType="end"/>
      </w:r>
      <w:r>
        <w:rPr>
          <w:rFonts w:hint="default" w:ascii="Arial" w:hAnsi="Arial" w:cs="Arial"/>
          <w:sz w:val="17"/>
          <w:szCs w:val="17"/>
        </w:rPr>
        <w:t>, sem prejuízo das sanções previstas na Lei nº 14.133, de 2021, e na legislação aplicável.</w:t>
      </w:r>
      <w:bookmarkStart w:id="53" w:name="nao_comprovacao_majoracao_mercado"/>
      <w:bookmarkEnd w:id="53"/>
    </w:p>
    <w:p w14:paraId="41C1948C">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8.2.3. </w:t>
      </w:r>
      <w:r>
        <w:rPr>
          <w:rFonts w:hint="default" w:ascii="Arial" w:hAnsi="Arial" w:cs="Arial"/>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ascii="Arial" w:hAnsi="Arial" w:cs="Arial"/>
          <w:sz w:val="17"/>
          <w:szCs w:val="17"/>
          <w:lang w:val="pt-BR"/>
        </w:rPr>
        <w:t>.</w:t>
      </w:r>
    </w:p>
    <w:p w14:paraId="090D3E2D">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8.2.4. </w:t>
      </w:r>
      <w:r>
        <w:rPr>
          <w:rFonts w:hint="default" w:ascii="Arial" w:hAnsi="Arial" w:cs="Arial"/>
          <w:sz w:val="17"/>
          <w:szCs w:val="17"/>
        </w:rPr>
        <w:t xml:space="preserve">Se não obtiver êxito nas negociações, o órgão ou entidade gerenciadora procederá ao cancelamento da ata de registro de preços,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cancelamento_da_ata \r \h  \* MERGEFORMAT </w:instrText>
      </w:r>
      <w:r>
        <w:rPr>
          <w:rFonts w:hint="default" w:ascii="Arial" w:hAnsi="Arial" w:cs="Arial"/>
          <w:sz w:val="17"/>
          <w:szCs w:val="17"/>
        </w:rPr>
        <w:fldChar w:fldCharType="separate"/>
      </w:r>
      <w:r>
        <w:rPr>
          <w:rFonts w:hint="default" w:ascii="Arial" w:hAnsi="Arial" w:cs="Arial"/>
          <w:sz w:val="17"/>
          <w:szCs w:val="17"/>
        </w:rPr>
        <w:t>9.4</w:t>
      </w:r>
      <w:r>
        <w:rPr>
          <w:rFonts w:hint="default" w:ascii="Arial" w:hAnsi="Arial" w:cs="Arial"/>
          <w:sz w:val="17"/>
          <w:szCs w:val="17"/>
        </w:rPr>
        <w:fldChar w:fldCharType="end"/>
      </w:r>
      <w:r>
        <w:rPr>
          <w:rFonts w:hint="default" w:ascii="Arial" w:hAnsi="Arial" w:cs="Arial"/>
          <w:sz w:val="17"/>
          <w:szCs w:val="17"/>
        </w:rPr>
        <w:t>, e adotará as medidas cabíveis para a obtenção da contratação mais vantajosa.</w:t>
      </w:r>
      <w:bookmarkStart w:id="54" w:name="majora_preco_mercado_negociacao_frustra"/>
      <w:bookmarkEnd w:id="54"/>
    </w:p>
    <w:p w14:paraId="45FE5BF2">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8.2.5. </w:t>
      </w:r>
      <w:r>
        <w:rPr>
          <w:rFonts w:hint="default" w:ascii="Arial" w:hAnsi="Arial" w:cs="Arial"/>
          <w:sz w:val="17"/>
          <w:szCs w:val="17"/>
        </w:rPr>
        <w:t xml:space="preserve">Na hipótese de comprovação da majoração do preço de mercado que inviabilize o preço registrado, conforme previsto no item </w:t>
      </w:r>
      <w:r>
        <w:rPr>
          <w:rFonts w:hint="default" w:ascii="Arial" w:hAnsi="Arial" w:cs="Arial"/>
          <w:sz w:val="17"/>
          <w:szCs w:val="17"/>
        </w:rPr>
        <w:fldChar w:fldCharType="begin"/>
      </w:r>
      <w:r>
        <w:rPr>
          <w:rFonts w:hint="default" w:ascii="Arial" w:hAnsi="Arial" w:cs="Arial"/>
          <w:sz w:val="17"/>
          <w:szCs w:val="17"/>
        </w:rPr>
        <w:instrText xml:space="preserve"> REF hipotese_preco_mercado_maior \r \h  \* MERGEFORMAT </w:instrText>
      </w:r>
      <w:r>
        <w:rPr>
          <w:rFonts w:hint="default" w:ascii="Arial" w:hAnsi="Arial" w:cs="Arial"/>
          <w:sz w:val="17"/>
          <w:szCs w:val="17"/>
        </w:rPr>
        <w:fldChar w:fldCharType="separate"/>
      </w:r>
      <w:r>
        <w:rPr>
          <w:rFonts w:hint="default" w:ascii="Arial" w:hAnsi="Arial" w:cs="Arial"/>
          <w:sz w:val="17"/>
          <w:szCs w:val="17"/>
        </w:rPr>
        <w:t>8.2</w:t>
      </w:r>
      <w:r>
        <w:rPr>
          <w:rFonts w:hint="default" w:ascii="Arial" w:hAnsi="Arial" w:cs="Arial"/>
          <w:sz w:val="17"/>
          <w:szCs w:val="17"/>
        </w:rPr>
        <w:fldChar w:fldCharType="end"/>
      </w:r>
      <w:r>
        <w:rPr>
          <w:rFonts w:hint="default" w:ascii="Arial" w:hAnsi="Arial" w:cs="Arial"/>
          <w:sz w:val="17"/>
          <w:szCs w:val="17"/>
        </w:rPr>
        <w:t xml:space="preserve"> e no item </w:t>
      </w:r>
      <w:r>
        <w:rPr>
          <w:rFonts w:hint="default" w:ascii="Arial" w:hAnsi="Arial" w:cs="Arial"/>
          <w:sz w:val="17"/>
          <w:szCs w:val="17"/>
        </w:rPr>
        <w:fldChar w:fldCharType="begin"/>
      </w:r>
      <w:r>
        <w:rPr>
          <w:rFonts w:hint="default" w:ascii="Arial" w:hAnsi="Arial" w:cs="Arial"/>
          <w:sz w:val="17"/>
          <w:szCs w:val="17"/>
        </w:rPr>
        <w:instrText xml:space="preserve"> REF prova_preco_mercado_maior \r \h  \* MERGEFORMAT </w:instrText>
      </w:r>
      <w:r>
        <w:rPr>
          <w:rFonts w:hint="default" w:ascii="Arial" w:hAnsi="Arial" w:cs="Arial"/>
          <w:sz w:val="17"/>
          <w:szCs w:val="17"/>
        </w:rPr>
        <w:fldChar w:fldCharType="separate"/>
      </w:r>
      <w:r>
        <w:rPr>
          <w:rFonts w:hint="default" w:ascii="Arial" w:hAnsi="Arial" w:cs="Arial"/>
          <w:sz w:val="17"/>
          <w:szCs w:val="17"/>
        </w:rPr>
        <w:t>8.2.1</w:t>
      </w:r>
      <w:r>
        <w:rPr>
          <w:rFonts w:hint="default" w:ascii="Arial" w:hAnsi="Arial" w:cs="Arial"/>
          <w:sz w:val="17"/>
          <w:szCs w:val="17"/>
        </w:rPr>
        <w:fldChar w:fldCharType="end"/>
      </w:r>
      <w:r>
        <w:rPr>
          <w:rFonts w:hint="default" w:ascii="Arial" w:hAnsi="Arial" w:cs="Arial"/>
          <w:sz w:val="17"/>
          <w:szCs w:val="17"/>
        </w:rPr>
        <w:t>, o órgão ou en</w:t>
      </w:r>
      <w:r>
        <w:rPr>
          <w:rFonts w:hint="default" w:ascii="Arial" w:hAnsi="Arial" w:eastAsia="Calibri" w:cs="Arial"/>
          <w:sz w:val="17"/>
          <w:szCs w:val="17"/>
        </w:rPr>
        <w:t>ti</w:t>
      </w:r>
      <w:r>
        <w:rPr>
          <w:rFonts w:hint="default" w:ascii="Arial" w:hAnsi="Arial" w:cs="Arial"/>
          <w:sz w:val="17"/>
          <w:szCs w:val="17"/>
        </w:rPr>
        <w:t>dade gerenciadora atualizará o preço registrado, de acordo com a realidade dos valores praticados pelo mercado.</w:t>
      </w:r>
    </w:p>
    <w:p w14:paraId="2E115053">
      <w:pPr>
        <w:tabs>
          <w:tab w:val="left" w:pos="567"/>
        </w:tabs>
        <w:spacing w:line="240" w:lineRule="auto"/>
        <w:rPr>
          <w:rFonts w:hint="default" w:ascii="Arial" w:hAnsi="Arial" w:cs="Arial"/>
          <w:sz w:val="17"/>
          <w:szCs w:val="17"/>
        </w:rPr>
      </w:pPr>
      <w:r>
        <w:rPr>
          <w:rFonts w:hint="default" w:ascii="Arial" w:hAnsi="Arial" w:cs="Arial"/>
          <w:b w:val="0"/>
          <w:bCs w:val="0"/>
          <w:sz w:val="17"/>
          <w:szCs w:val="17"/>
        </w:rPr>
        <w:t>8.2.6</w:t>
      </w:r>
      <w:r>
        <w:rPr>
          <w:rFonts w:hint="default" w:ascii="Arial" w:hAnsi="Arial" w:cs="Arial"/>
          <w:b w:val="0"/>
          <w:bCs w:val="0"/>
          <w:sz w:val="17"/>
          <w:szCs w:val="17"/>
          <w:lang w:val="pt-BR"/>
        </w:rPr>
        <w:t>.</w:t>
      </w:r>
      <w:r>
        <w:rPr>
          <w:rFonts w:hint="default" w:ascii="Arial" w:hAnsi="Arial" w:cs="Arial"/>
          <w:b w:val="0"/>
          <w:bCs w:val="0"/>
          <w:sz w:val="17"/>
          <w:szCs w:val="17"/>
        </w:rPr>
        <w:t xml:space="preserve"> </w:t>
      </w:r>
      <w:r>
        <w:rPr>
          <w:rFonts w:hint="default" w:ascii="Arial" w:hAnsi="Arial" w:cs="Arial"/>
          <w:sz w:val="17"/>
          <w:szCs w:val="17"/>
        </w:rPr>
        <w:t>O órgão ou en</w:t>
      </w:r>
      <w:r>
        <w:rPr>
          <w:rFonts w:hint="default" w:ascii="Arial" w:hAnsi="Arial" w:eastAsia="Calibri" w:cs="Arial"/>
          <w:sz w:val="17"/>
          <w:szCs w:val="17"/>
        </w:rPr>
        <w:t>ti</w:t>
      </w:r>
      <w:r>
        <w:rPr>
          <w:rFonts w:hint="default" w:ascii="Arial" w:hAnsi="Arial" w:cs="Arial"/>
          <w:sz w:val="17"/>
          <w:szCs w:val="17"/>
        </w:rPr>
        <w:t>dade gerenciadora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sobre a efe</w:t>
      </w:r>
      <w:r>
        <w:rPr>
          <w:rFonts w:hint="default" w:ascii="Arial" w:hAnsi="Arial" w:eastAsia="Calibri" w:cs="Arial"/>
          <w:sz w:val="17"/>
          <w:szCs w:val="17"/>
        </w:rPr>
        <w:t>ti</w:t>
      </w:r>
      <w:r>
        <w:rPr>
          <w:rFonts w:hint="default" w:ascii="Arial" w:hAnsi="Arial" w:cs="Arial"/>
          <w:sz w:val="17"/>
          <w:szCs w:val="17"/>
        </w:rPr>
        <w:t>va alteração do preço registrado, para que avaliem a necessidade de alteração contratual, observado o disposto no art. 124 da Lei nº 14.133, de 2021</w:t>
      </w:r>
      <w:r>
        <w:rPr>
          <w:rFonts w:hint="default" w:ascii="Arial" w:hAnsi="Arial" w:cs="Arial"/>
          <w:sz w:val="17"/>
          <w:szCs w:val="17"/>
          <w:lang w:val="pt-BR"/>
        </w:rPr>
        <w:t>.</w:t>
      </w:r>
      <w:r>
        <w:rPr>
          <w:rFonts w:hint="default" w:ascii="Arial" w:hAnsi="Arial" w:cs="Arial"/>
          <w:sz w:val="17"/>
          <w:szCs w:val="17"/>
        </w:rPr>
        <w:t xml:space="preserve"> </w:t>
      </w:r>
    </w:p>
    <w:p w14:paraId="13DF4671">
      <w:pPr>
        <w:tabs>
          <w:tab w:val="left" w:pos="7526"/>
        </w:tabs>
        <w:spacing w:line="240" w:lineRule="auto"/>
        <w:jc w:val="both"/>
        <w:rPr>
          <w:rFonts w:hint="default" w:ascii="Arial" w:hAnsi="Arial" w:cs="Arial"/>
          <w:bCs/>
          <w:sz w:val="17"/>
          <w:szCs w:val="17"/>
        </w:rPr>
      </w:pPr>
    </w:p>
    <w:p w14:paraId="5CC1A12B">
      <w:pPr>
        <w:spacing w:line="240" w:lineRule="auto"/>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695BE0E4">
      <w:pPr>
        <w:numPr>
          <w:ilvl w:val="0"/>
          <w:numId w:val="0"/>
        </w:numPr>
        <w:tabs>
          <w:tab w:val="left" w:pos="567"/>
        </w:tabs>
        <w:spacing w:line="240" w:lineRule="auto"/>
        <w:rPr>
          <w:rFonts w:hint="default" w:ascii="Arial" w:hAnsi="Arial" w:cs="Arial"/>
          <w:b w:val="0"/>
          <w:bCs w:val="0"/>
          <w:sz w:val="17"/>
          <w:szCs w:val="17"/>
        </w:rPr>
      </w:pPr>
      <w:r>
        <w:rPr>
          <w:rFonts w:hint="default" w:ascii="Arial" w:hAnsi="Arial" w:cs="Arial"/>
          <w:b w:val="0"/>
          <w:bCs w:val="0"/>
          <w:sz w:val="17"/>
          <w:szCs w:val="17"/>
          <w:lang w:val="pt-BR"/>
        </w:rPr>
        <w:t xml:space="preserve">9.1. </w:t>
      </w:r>
      <w:r>
        <w:rPr>
          <w:rFonts w:hint="default" w:ascii="Arial" w:hAnsi="Arial" w:cs="Arial"/>
          <w:b w:val="0"/>
          <w:bCs w:val="0"/>
          <w:sz w:val="17"/>
          <w:szCs w:val="17"/>
        </w:rPr>
        <w:t>O registro do fornecedor será cancelado pelo gerenciador, quando o fornecedor:</w:t>
      </w:r>
      <w:bookmarkStart w:id="55" w:name="cancelamento_do_fornecedor"/>
      <w:bookmarkEnd w:id="55"/>
    </w:p>
    <w:p w14:paraId="73300CB6">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28F0D88B">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57E40F42">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2BF879A8">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624CA3DE">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28D09D34">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0EF2EC05">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2060E361">
      <w:pPr>
        <w:pStyle w:val="222"/>
        <w:numPr>
          <w:ilvl w:val="0"/>
          <w:numId w:val="22"/>
        </w:numPr>
        <w:spacing w:line="240" w:lineRule="auto"/>
        <w:contextualSpacing w:val="0"/>
        <w:jc w:val="both"/>
        <w:rPr>
          <w:rFonts w:hint="default" w:ascii="Arial" w:hAnsi="Arial" w:cs="Arial" w:eastAsiaTheme="minorHAnsi"/>
          <w:vanish/>
          <w:sz w:val="17"/>
          <w:szCs w:val="17"/>
          <w:lang w:eastAsia="en-US"/>
        </w:rPr>
      </w:pPr>
    </w:p>
    <w:p w14:paraId="323F2EB6">
      <w:pPr>
        <w:pStyle w:val="222"/>
        <w:numPr>
          <w:ilvl w:val="1"/>
          <w:numId w:val="22"/>
        </w:numPr>
        <w:spacing w:line="240" w:lineRule="auto"/>
        <w:contextualSpacing w:val="0"/>
        <w:jc w:val="both"/>
        <w:rPr>
          <w:rFonts w:hint="default" w:ascii="Arial" w:hAnsi="Arial" w:cs="Arial" w:eastAsiaTheme="minorHAnsi"/>
          <w:vanish/>
          <w:sz w:val="17"/>
          <w:szCs w:val="17"/>
          <w:lang w:eastAsia="en-US"/>
        </w:rPr>
      </w:pPr>
    </w:p>
    <w:p w14:paraId="0E3F83A3">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9.1.1. </w:t>
      </w:r>
      <w:r>
        <w:rPr>
          <w:rFonts w:hint="default" w:ascii="Arial" w:hAnsi="Arial" w:cs="Arial"/>
          <w:sz w:val="17"/>
          <w:szCs w:val="17"/>
        </w:rPr>
        <w:t>Descumprir as condições da ata de registro de preços, sem motivo justificado;</w:t>
      </w:r>
    </w:p>
    <w:p w14:paraId="329DB249">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9.1.2. </w:t>
      </w: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54AA6115">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9.1.3. </w:t>
      </w:r>
      <w:r>
        <w:rPr>
          <w:rFonts w:hint="default" w:ascii="Arial" w:hAnsi="Arial" w:cs="Arial"/>
          <w:sz w:val="17"/>
          <w:szCs w:val="17"/>
        </w:rPr>
        <w:t>Não aceitar manter seu preço registrado, na hipótese prevista no artigo 27, § 2º, do Decreto nº 11.462, de 2023; ou</w:t>
      </w:r>
    </w:p>
    <w:p w14:paraId="1CD5B0FA">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 </w:t>
      </w:r>
      <w:r>
        <w:rPr>
          <w:rFonts w:hint="default" w:ascii="Arial" w:hAnsi="Arial" w:cs="Arial"/>
          <w:sz w:val="17"/>
          <w:szCs w:val="17"/>
        </w:rPr>
        <w:t>Sofrer sanção prevista nos incisos III ou IV do caput do art. 156 da Lei nº 14.133, de 2021.</w:t>
      </w:r>
    </w:p>
    <w:p w14:paraId="7E4C1D78">
      <w:pPr>
        <w:pStyle w:val="320"/>
        <w:numPr>
          <w:ilvl w:val="0"/>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9.1.4.1. </w:t>
      </w: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0F9F">
      <w:pPr>
        <w:pStyle w:val="305"/>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9.2. </w:t>
      </w:r>
      <w:r>
        <w:rPr>
          <w:rFonts w:hint="default" w:ascii="Arial" w:hAnsi="Arial" w:cs="Arial"/>
          <w:sz w:val="17"/>
          <w:szCs w:val="17"/>
        </w:rPr>
        <w:t xml:space="preserve">O cancelamento de registros nas hipóteses previstas </w:t>
      </w:r>
      <w:r>
        <w:rPr>
          <w:rFonts w:hint="default" w:cs="Arial"/>
          <w:sz w:val="17"/>
          <w:szCs w:val="17"/>
          <w:lang w:val="pt-BR"/>
        </w:rPr>
        <w:t xml:space="preserve"> </w:t>
      </w:r>
      <w:r>
        <w:rPr>
          <w:rFonts w:hint="default" w:ascii="Arial" w:hAnsi="Arial" w:cs="Arial"/>
          <w:sz w:val="17"/>
          <w:szCs w:val="17"/>
        </w:rPr>
        <w:t>será formalizado por despacho do órgão ou da entidade gerenciadora, garantidos os princípios do contraditório e da ampla defesa.</w:t>
      </w:r>
    </w:p>
    <w:p w14:paraId="6C293DA6">
      <w:pPr>
        <w:pStyle w:val="305"/>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9.3. </w:t>
      </w: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11B3E7B4">
      <w:pPr>
        <w:pStyle w:val="305"/>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9.4. </w:t>
      </w: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p>
    <w:p w14:paraId="60440A0E">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9.4.1. </w:t>
      </w:r>
      <w:r>
        <w:rPr>
          <w:rFonts w:hint="default" w:ascii="Arial" w:hAnsi="Arial" w:cs="Arial"/>
          <w:sz w:val="17"/>
          <w:szCs w:val="17"/>
        </w:rPr>
        <w:t>Por razão de interesse público;</w:t>
      </w:r>
    </w:p>
    <w:p w14:paraId="587FF62B">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9.4.2. </w:t>
      </w:r>
      <w:r>
        <w:rPr>
          <w:rFonts w:hint="default" w:ascii="Arial" w:hAnsi="Arial" w:cs="Arial"/>
          <w:sz w:val="17"/>
          <w:szCs w:val="17"/>
        </w:rPr>
        <w:t>A pedido do fornecedor, decorrente de caso fortuito ou força maior; ou</w:t>
      </w:r>
    </w:p>
    <w:p w14:paraId="34440A35">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9.4.3. </w:t>
      </w: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29010142">
      <w:pPr>
        <w:spacing w:line="240" w:lineRule="auto"/>
        <w:jc w:val="both"/>
        <w:rPr>
          <w:rFonts w:hint="default" w:ascii="Arial" w:hAnsi="Arial" w:cs="Arial"/>
          <w:b/>
          <w:bCs/>
          <w:sz w:val="17"/>
          <w:szCs w:val="17"/>
        </w:rPr>
      </w:pPr>
    </w:p>
    <w:p w14:paraId="7ADD5D1B">
      <w:pPr>
        <w:spacing w:line="240" w:lineRule="auto"/>
        <w:jc w:val="both"/>
        <w:rPr>
          <w:rFonts w:hint="default" w:ascii="Arial" w:hAnsi="Arial" w:cs="Arial"/>
          <w:b/>
          <w:bCs/>
          <w:sz w:val="17"/>
          <w:szCs w:val="17"/>
        </w:rPr>
      </w:pPr>
    </w:p>
    <w:p w14:paraId="7CD4D59E">
      <w:pPr>
        <w:spacing w:line="240" w:lineRule="auto"/>
        <w:jc w:val="both"/>
        <w:rPr>
          <w:rFonts w:hint="default" w:ascii="Arial" w:hAnsi="Arial" w:cs="Arial"/>
          <w:b/>
          <w:bCs/>
          <w:sz w:val="17"/>
          <w:szCs w:val="17"/>
        </w:rPr>
      </w:pPr>
    </w:p>
    <w:p w14:paraId="488953C1">
      <w:pPr>
        <w:spacing w:line="240" w:lineRule="auto"/>
        <w:jc w:val="both"/>
        <w:rPr>
          <w:rFonts w:hint="default" w:ascii="Arial" w:hAnsi="Arial" w:cs="Arial"/>
          <w:b/>
          <w:bCs/>
          <w:sz w:val="17"/>
          <w:szCs w:val="17"/>
        </w:rPr>
      </w:pPr>
    </w:p>
    <w:p w14:paraId="73784A9A">
      <w:pPr>
        <w:spacing w:line="240" w:lineRule="auto"/>
        <w:jc w:val="both"/>
        <w:rPr>
          <w:rFonts w:hint="default" w:ascii="Arial" w:hAnsi="Arial" w:cs="Arial"/>
          <w:b/>
          <w:bCs/>
          <w:sz w:val="17"/>
          <w:szCs w:val="17"/>
        </w:rPr>
      </w:pPr>
      <w:r>
        <w:rPr>
          <w:rFonts w:hint="default" w:ascii="Arial" w:hAnsi="Arial" w:cs="Arial"/>
          <w:b/>
          <w:bCs/>
          <w:sz w:val="17"/>
          <w:szCs w:val="17"/>
        </w:rPr>
        <w:t>CLAUSULA DÉCIMA – DAS PENALIDADES</w:t>
      </w:r>
    </w:p>
    <w:p w14:paraId="78914001">
      <w:pPr>
        <w:pStyle w:val="306"/>
        <w:spacing w:before="0" w:after="0" w:line="240" w:lineRule="auto"/>
        <w:ind w:left="0"/>
        <w:rPr>
          <w:rFonts w:hint="default" w:ascii="Arial" w:hAnsi="Arial" w:cs="Arial"/>
          <w:color w:val="auto"/>
          <w:sz w:val="17"/>
          <w:szCs w:val="17"/>
          <w:shd w:val="clear" w:color="auto" w:fill="FFFFFF"/>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.1 O licitante ou o contratado será responsabilizado administrativamente pelas seguintes infrações, conforme </w:t>
      </w:r>
      <w:r>
        <w:rPr>
          <w:rFonts w:hint="default" w:ascii="Arial" w:hAnsi="Arial" w:cs="Arial"/>
          <w:color w:val="auto"/>
          <w:sz w:val="17"/>
          <w:szCs w:val="17"/>
          <w:shd w:val="clear" w:color="auto" w:fill="FFFFFF"/>
        </w:rPr>
        <w:t xml:space="preserve">disposto nos arts. 155 e seguintes da Lei nº 14.133/21. </w:t>
      </w:r>
    </w:p>
    <w:p w14:paraId="5E9DBD5C">
      <w:pPr>
        <w:pStyle w:val="305"/>
        <w:tabs>
          <w:tab w:val="left" w:pos="567"/>
        </w:tabs>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 Com fulcro na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w:instrText>
      </w:r>
      <w:r>
        <w:rPr>
          <w:rFonts w:hint="default" w:ascii="Arial" w:hAnsi="Arial" w:cs="Arial"/>
          <w:color w:val="auto"/>
          <w:sz w:val="17"/>
          <w:szCs w:val="17"/>
        </w:rPr>
        <w:fldChar w:fldCharType="separate"/>
      </w:r>
      <w:r>
        <w:rPr>
          <w:rStyle w:val="13"/>
          <w:rFonts w:hint="default" w:ascii="Arial" w:hAnsi="Arial" w:cs="Arial"/>
          <w:color w:val="auto"/>
          <w:sz w:val="17"/>
          <w:szCs w:val="17"/>
        </w:rPr>
        <w:t>Lei nº 14.133, de 2021</w:t>
      </w:r>
      <w:r>
        <w:rPr>
          <w:rStyle w:val="13"/>
          <w:rFonts w:hint="default" w:ascii="Arial" w:hAnsi="Arial" w:cs="Arial"/>
          <w:color w:val="auto"/>
          <w:sz w:val="17"/>
          <w:szCs w:val="17"/>
        </w:rPr>
        <w:fldChar w:fldCharType="end"/>
      </w:r>
      <w:r>
        <w:rPr>
          <w:rFonts w:hint="default" w:ascii="Arial" w:hAnsi="Arial" w:cs="Arial"/>
          <w:color w:val="auto"/>
          <w:sz w:val="17"/>
          <w:szCs w:val="17"/>
        </w:rPr>
        <w:t xml:space="preserve">, a Administração poderá, garantida a prévia defesa, aplicar aos licitantes e/ou adjudicatários as seguintes sanções, sem prejuízo das responsabilidades civil e criminal: </w:t>
      </w:r>
    </w:p>
    <w:p w14:paraId="1A06D9D6">
      <w:pPr>
        <w:pStyle w:val="306"/>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.2.1 advertência; </w:t>
      </w:r>
    </w:p>
    <w:p w14:paraId="3B6DCAFA">
      <w:pPr>
        <w:pStyle w:val="306"/>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.2.2 multa;</w:t>
      </w:r>
    </w:p>
    <w:p w14:paraId="34559966">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.2.3 impedimento de licitar e contratar:</w:t>
      </w:r>
    </w:p>
    <w:p w14:paraId="3D498104">
      <w:pPr>
        <w:pStyle w:val="306"/>
        <w:tabs>
          <w:tab w:val="left" w:pos="1843"/>
        </w:tabs>
        <w:spacing w:before="0" w:after="0" w:line="240" w:lineRule="auto"/>
        <w:ind w:left="0"/>
        <w:rPr>
          <w:rFonts w:hint="default" w:ascii="Arial" w:hAnsi="Arial" w:cs="Arial"/>
          <w:b/>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7"/>
          <w:szCs w:val="17"/>
        </w:rPr>
        <w:t>aplicou a penalidade.</w:t>
      </w:r>
    </w:p>
    <w:p w14:paraId="089DC416">
      <w:pPr>
        <w:pStyle w:val="306"/>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.2.5 na aplicação das sanções serão considerados:</w:t>
      </w:r>
    </w:p>
    <w:p w14:paraId="1BDFC51E">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.2.6 a natureza e a gravidade da infração cometida;</w:t>
      </w:r>
    </w:p>
    <w:p w14:paraId="1D11F24D">
      <w:pPr>
        <w:pStyle w:val="307"/>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.2.7 as peculiaridades do caso concreto;</w:t>
      </w:r>
    </w:p>
    <w:p w14:paraId="51294E36">
      <w:pPr>
        <w:pStyle w:val="307"/>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.2.8 as circunstâncias agravantes ou atenuantes;</w:t>
      </w:r>
    </w:p>
    <w:p w14:paraId="65995886">
      <w:pPr>
        <w:pStyle w:val="307"/>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.2.9 os danos que dela provierem para a Administração Pública;</w:t>
      </w:r>
    </w:p>
    <w:p w14:paraId="29610EB0">
      <w:pPr>
        <w:pStyle w:val="280"/>
        <w:numPr>
          <w:ilvl w:val="0"/>
          <w:numId w:val="0"/>
        </w:numPr>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.2.10 a implantação ou o aperfeiçoamento de programa de integridade</w:t>
      </w:r>
      <w:r>
        <w:rPr>
          <w:rFonts w:hint="default" w:ascii="Arial" w:hAnsi="Arial" w:cs="Arial"/>
          <w:sz w:val="17"/>
          <w:szCs w:val="17"/>
        </w:rPr>
        <w:t xml:space="preserve">, </w:t>
      </w:r>
      <w:r>
        <w:rPr>
          <w:rFonts w:hint="default" w:ascii="Arial" w:hAnsi="Arial" w:cs="Arial"/>
          <w:b w:val="0"/>
          <w:sz w:val="17"/>
          <w:szCs w:val="17"/>
        </w:rPr>
        <w:t>conforme normas e orientações dos órgãos de controle.</w:t>
      </w:r>
    </w:p>
    <w:p w14:paraId="270E3A9A">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.3 A sanção prevista no item 1</w:t>
      </w:r>
      <w:r>
        <w:rPr>
          <w:rFonts w:hint="default" w:cs="Arial"/>
          <w:color w:val="auto"/>
          <w:sz w:val="17"/>
          <w:szCs w:val="17"/>
          <w:lang w:val="pt-BR"/>
        </w:rPr>
        <w:t>0</w:t>
      </w:r>
      <w:r>
        <w:rPr>
          <w:rFonts w:hint="default" w:ascii="Arial" w:hAnsi="Arial" w:cs="Arial"/>
          <w:color w:val="auto"/>
          <w:sz w:val="17"/>
          <w:szCs w:val="17"/>
        </w:rPr>
        <w:t>.1 será aplicada exclusivamente pela infração administrativa prevista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 </w:instrText>
      </w:r>
      <w:r>
        <w:rPr>
          <w:rFonts w:hint="default" w:ascii="Arial" w:hAnsi="Arial" w:cs="Arial"/>
          <w:sz w:val="17"/>
          <w:szCs w:val="17"/>
        </w:rPr>
        <w:fldChar w:fldCharType="separate"/>
      </w:r>
      <w:r>
        <w:rPr>
          <w:rStyle w:val="13"/>
          <w:rFonts w:hint="default" w:ascii="Arial" w:hAnsi="Arial" w:cs="Arial"/>
          <w:color w:val="auto"/>
          <w:sz w:val="17"/>
          <w:szCs w:val="17"/>
        </w:rPr>
        <w:t>inciso I do </w:t>
      </w:r>
      <w:r>
        <w:rPr>
          <w:rStyle w:val="13"/>
          <w:rFonts w:hint="default" w:ascii="Arial" w:hAnsi="Arial" w:cs="Arial"/>
          <w:bCs/>
          <w:color w:val="auto"/>
          <w:sz w:val="17"/>
          <w:szCs w:val="17"/>
        </w:rPr>
        <w:t>caput</w:t>
      </w:r>
      <w:r>
        <w:rPr>
          <w:rStyle w:val="13"/>
          <w:rFonts w:hint="default" w:ascii="Arial" w:hAnsi="Arial" w:cs="Arial"/>
          <w:color w:val="auto"/>
          <w:sz w:val="17"/>
          <w:szCs w:val="17"/>
        </w:rPr>
        <w:t> do art. 155 da Lei</w:t>
      </w:r>
      <w:r>
        <w:rPr>
          <w:rStyle w:val="13"/>
          <w:rFonts w:hint="default" w:ascii="Arial" w:hAnsi="Arial" w:cs="Arial"/>
          <w:color w:val="auto"/>
          <w:sz w:val="17"/>
          <w:szCs w:val="17"/>
        </w:rPr>
        <w:fldChar w:fldCharType="end"/>
      </w:r>
      <w:r>
        <w:rPr>
          <w:rFonts w:hint="default" w:ascii="Arial" w:hAnsi="Arial" w:cs="Arial"/>
          <w:color w:val="auto"/>
          <w:sz w:val="17"/>
          <w:szCs w:val="17"/>
        </w:rPr>
        <w:t xml:space="preserve"> 14.133/21, quando não se justificar a imposição de penalidade mais grave.</w:t>
      </w:r>
    </w:p>
    <w:p w14:paraId="70F6EBBA">
      <w:pPr>
        <w:pStyle w:val="306"/>
        <w:spacing w:before="0" w:after="0" w:line="240" w:lineRule="auto"/>
        <w:ind w:left="0"/>
        <w:rPr>
          <w:rFonts w:hint="default" w:ascii="Arial" w:hAnsi="Arial" w:cs="Arial"/>
          <w:sz w:val="17"/>
          <w:szCs w:val="17"/>
        </w:rPr>
      </w:pPr>
      <w:r>
        <w:rPr>
          <w:rFonts w:hint="default" w:ascii="Arial" w:hAnsi="Arial" w:cs="Arial"/>
          <w:color w:val="1D2228"/>
          <w:sz w:val="17"/>
          <w:szCs w:val="17"/>
          <w:shd w:val="clear" w:color="auto" w:fill="FFFFFF"/>
        </w:rPr>
        <w:t>1</w:t>
      </w:r>
      <w:r>
        <w:rPr>
          <w:rFonts w:hint="default" w:cs="Arial"/>
          <w:color w:val="1D2228"/>
          <w:sz w:val="17"/>
          <w:szCs w:val="17"/>
          <w:shd w:val="clear" w:color="auto" w:fill="FFFFFF"/>
          <w:lang w:val="pt-BR"/>
        </w:rPr>
        <w:t>0</w:t>
      </w:r>
      <w:r>
        <w:rPr>
          <w:rFonts w:hint="default" w:ascii="Arial" w:hAnsi="Arial" w:cs="Arial"/>
          <w:color w:val="1D2228"/>
          <w:sz w:val="17"/>
          <w:szCs w:val="17"/>
          <w:shd w:val="clear" w:color="auto" w:fill="FFFFFF"/>
        </w:rPr>
        <w:t xml:space="preserve">.3.1 </w:t>
      </w:r>
      <w:r>
        <w:rPr>
          <w:rFonts w:hint="default" w:ascii="Arial" w:hAnsi="Arial" w:cs="Arial"/>
          <w:sz w:val="17"/>
          <w:szCs w:val="17"/>
        </w:rPr>
        <w:t xml:space="preserve">dar causa à inexecução parcial do contrato; 10% do valor da parcela inadimplida; </w:t>
      </w:r>
    </w:p>
    <w:p w14:paraId="3797599C">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.3.2 dar causa à inexecução parcial do contrato que cause grave dano à Administração, ao funcionamento dos serviços públicos ou ao interesse coletivo; 15% do valor do contrato;</w:t>
      </w:r>
    </w:p>
    <w:p w14:paraId="259D3B8B">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.3.3 dar causa à inexecução total do contrato; 20% do valor do contrato;</w:t>
      </w:r>
    </w:p>
    <w:p w14:paraId="6D84ED18">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.3.4 deixar de entregar a documentação exigida para o certame; 5% do valor do contrato;</w:t>
      </w:r>
    </w:p>
    <w:p w14:paraId="60C8B3F1">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.3.5 não manter a proposta, salvo em decorrência de fato superveniente devidamente justificado; 10% do valor do contrato;</w:t>
      </w:r>
    </w:p>
    <w:p w14:paraId="38E08C58">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.3.6 não celebrar o contrato ou não entregar a documentação exigida para a contratação, quando convocado dentro do prazo de validade de sua proposta; 5% do valor do contrato;</w:t>
      </w:r>
    </w:p>
    <w:p w14:paraId="1D1F560F">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.3.7 ensejar o retardamento da execução ou da entrega do objeto da licitação sem motivo justificado; 10% do valor do contrato;</w:t>
      </w:r>
    </w:p>
    <w:p w14:paraId="37974A73">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.3.8 apresentar declaração ou documentação falsa exigida para o certame ou prestar declaração falsa durante a licitação ou a execução do contrato; 30% do valor do contrato;</w:t>
      </w:r>
    </w:p>
    <w:p w14:paraId="5DCA2760">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.3.9 fraudar a licitação ou praticar ato fraudulento na execução do contrato; 30% do valor do contrato;</w:t>
      </w:r>
    </w:p>
    <w:p w14:paraId="73190BDA">
      <w:pPr>
        <w:pStyle w:val="306"/>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.3.10 comportar-se de modo inidôneo ou cometer fraude de qualquer natureza; </w:t>
      </w:r>
      <w:r>
        <w:rPr>
          <w:rFonts w:hint="default" w:ascii="Arial" w:hAnsi="Arial" w:cs="Arial"/>
          <w:b/>
          <w:sz w:val="17"/>
          <w:szCs w:val="17"/>
        </w:rPr>
        <w:t>30% do valor    do contrato;</w:t>
      </w:r>
    </w:p>
    <w:p w14:paraId="271D9029">
      <w:pPr>
        <w:pStyle w:val="306"/>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.3.11 praticar atos ilícitos com vistas a frustrar os objetivos da licitação; </w:t>
      </w:r>
      <w:r>
        <w:rPr>
          <w:rFonts w:hint="default" w:ascii="Arial" w:hAnsi="Arial" w:cs="Arial"/>
          <w:b/>
          <w:sz w:val="17"/>
          <w:szCs w:val="17"/>
        </w:rPr>
        <w:t>30% do valor do contrato;</w:t>
      </w:r>
    </w:p>
    <w:p w14:paraId="3053B3CF">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.3.12 praticar ato lesivo previsto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\l "art5" </w:instrText>
      </w:r>
      <w:r>
        <w:rPr>
          <w:rFonts w:hint="default" w:ascii="Arial" w:hAnsi="Arial" w:cs="Arial"/>
          <w:sz w:val="17"/>
          <w:szCs w:val="17"/>
        </w:rPr>
        <w:fldChar w:fldCharType="separate"/>
      </w:r>
      <w:r>
        <w:rPr>
          <w:rStyle w:val="13"/>
          <w:rFonts w:hint="default" w:ascii="Arial" w:hAnsi="Arial" w:cs="Arial"/>
          <w:color w:val="auto"/>
          <w:sz w:val="17"/>
          <w:szCs w:val="17"/>
        </w:rPr>
        <w:t>art. 5º da Lei nº 12.846, de 1º de agosto de 2013.</w:t>
      </w:r>
      <w:r>
        <w:rPr>
          <w:rStyle w:val="13"/>
          <w:rFonts w:hint="default" w:ascii="Arial" w:hAnsi="Arial" w:cs="Arial"/>
          <w:color w:val="auto"/>
          <w:sz w:val="17"/>
          <w:szCs w:val="17"/>
        </w:rPr>
        <w:fldChar w:fldCharType="end"/>
      </w:r>
      <w:r>
        <w:rPr>
          <w:rFonts w:hint="default" w:ascii="Arial" w:hAnsi="Arial" w:cs="Arial"/>
          <w:sz w:val="17"/>
          <w:szCs w:val="17"/>
        </w:rPr>
        <w:t xml:space="preserve"> 30% do valor do contrato;</w:t>
      </w:r>
    </w:p>
    <w:p w14:paraId="0CC69D8C">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 A sanção prevista no item 1</w:t>
      </w:r>
      <w:r>
        <w:rPr>
          <w:rFonts w:hint="default" w:cs="Arial"/>
          <w:color w:val="auto"/>
          <w:sz w:val="17"/>
          <w:szCs w:val="17"/>
          <w:lang w:val="pt-BR"/>
        </w:rPr>
        <w:t>0</w:t>
      </w:r>
      <w:r>
        <w:rPr>
          <w:rFonts w:hint="default" w:ascii="Arial" w:hAnsi="Arial" w:cs="Arial"/>
          <w:color w:val="auto"/>
          <w:sz w:val="17"/>
          <w:szCs w:val="17"/>
        </w:rPr>
        <w:t>.3.2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"art155ii" </w:instrText>
      </w:r>
      <w:r>
        <w:rPr>
          <w:rFonts w:hint="default" w:ascii="Arial" w:hAnsi="Arial" w:cs="Arial"/>
          <w:sz w:val="17"/>
          <w:szCs w:val="17"/>
        </w:rPr>
        <w:fldChar w:fldCharType="separate"/>
      </w:r>
      <w:r>
        <w:rPr>
          <w:rStyle w:val="13"/>
          <w:rFonts w:hint="default" w:ascii="Arial" w:hAnsi="Arial" w:cs="Arial"/>
          <w:color w:val="auto"/>
          <w:sz w:val="17"/>
          <w:szCs w:val="17"/>
        </w:rPr>
        <w:t>incisos 1</w:t>
      </w:r>
      <w:r>
        <w:rPr>
          <w:rStyle w:val="13"/>
          <w:rFonts w:hint="default" w:cs="Arial"/>
          <w:color w:val="auto"/>
          <w:sz w:val="17"/>
          <w:szCs w:val="17"/>
          <w:lang w:val="pt-BR"/>
        </w:rPr>
        <w:t>0</w:t>
      </w:r>
      <w:r>
        <w:rPr>
          <w:rStyle w:val="13"/>
          <w:rFonts w:hint="default" w:ascii="Arial" w:hAnsi="Arial" w:cs="Arial"/>
          <w:color w:val="auto"/>
          <w:sz w:val="17"/>
          <w:szCs w:val="17"/>
        </w:rPr>
        <w:t>.3.1, 1</w:t>
      </w:r>
      <w:r>
        <w:rPr>
          <w:rStyle w:val="13"/>
          <w:rFonts w:hint="default" w:cs="Arial"/>
          <w:color w:val="auto"/>
          <w:sz w:val="17"/>
          <w:szCs w:val="17"/>
          <w:lang w:val="pt-BR"/>
        </w:rPr>
        <w:t>0</w:t>
      </w:r>
      <w:r>
        <w:rPr>
          <w:rStyle w:val="13"/>
          <w:rFonts w:hint="default" w:ascii="Arial" w:hAnsi="Arial" w:cs="Arial"/>
          <w:color w:val="auto"/>
          <w:sz w:val="17"/>
          <w:szCs w:val="17"/>
        </w:rPr>
        <w:t>.3.2, 1</w:t>
      </w:r>
      <w:r>
        <w:rPr>
          <w:rStyle w:val="13"/>
          <w:rFonts w:hint="default" w:cs="Arial"/>
          <w:color w:val="auto"/>
          <w:sz w:val="17"/>
          <w:szCs w:val="17"/>
          <w:lang w:val="pt-BR"/>
        </w:rPr>
        <w:t>0</w:t>
      </w:r>
      <w:r>
        <w:rPr>
          <w:rStyle w:val="13"/>
          <w:rFonts w:hint="default" w:ascii="Arial" w:hAnsi="Arial" w:cs="Arial"/>
          <w:color w:val="auto"/>
          <w:sz w:val="17"/>
          <w:szCs w:val="17"/>
        </w:rPr>
        <w:t>.3.3, 1</w:t>
      </w:r>
      <w:r>
        <w:rPr>
          <w:rStyle w:val="13"/>
          <w:rFonts w:hint="default" w:cs="Arial"/>
          <w:color w:val="auto"/>
          <w:sz w:val="17"/>
          <w:szCs w:val="17"/>
          <w:lang w:val="pt-BR"/>
        </w:rPr>
        <w:t>0</w:t>
      </w:r>
      <w:r>
        <w:rPr>
          <w:rStyle w:val="13"/>
          <w:rFonts w:hint="default" w:ascii="Arial" w:hAnsi="Arial" w:cs="Arial"/>
          <w:color w:val="auto"/>
          <w:sz w:val="17"/>
          <w:szCs w:val="17"/>
        </w:rPr>
        <w:t>.3.4, 1</w:t>
      </w:r>
      <w:r>
        <w:rPr>
          <w:rStyle w:val="13"/>
          <w:rFonts w:hint="default" w:cs="Arial"/>
          <w:color w:val="auto"/>
          <w:sz w:val="17"/>
          <w:szCs w:val="17"/>
          <w:lang w:val="pt-BR"/>
        </w:rPr>
        <w:t>0</w:t>
      </w:r>
      <w:r>
        <w:rPr>
          <w:rStyle w:val="13"/>
          <w:rFonts w:hint="default" w:ascii="Arial" w:hAnsi="Arial" w:cs="Arial"/>
          <w:color w:val="auto"/>
          <w:sz w:val="17"/>
          <w:szCs w:val="17"/>
        </w:rPr>
        <w:t>.3.5 e 1</w:t>
      </w:r>
      <w:r>
        <w:rPr>
          <w:rStyle w:val="13"/>
          <w:rFonts w:hint="default" w:cs="Arial"/>
          <w:color w:val="auto"/>
          <w:sz w:val="17"/>
          <w:szCs w:val="17"/>
          <w:lang w:val="pt-BR"/>
        </w:rPr>
        <w:t>0</w:t>
      </w:r>
      <w:r>
        <w:rPr>
          <w:rStyle w:val="13"/>
          <w:rFonts w:hint="default" w:ascii="Arial" w:hAnsi="Arial" w:cs="Arial"/>
          <w:color w:val="auto"/>
          <w:sz w:val="17"/>
          <w:szCs w:val="17"/>
        </w:rPr>
        <w:t>.3.6,</w:t>
      </w:r>
      <w:r>
        <w:rPr>
          <w:rStyle w:val="13"/>
          <w:rFonts w:hint="default" w:ascii="Arial" w:hAnsi="Arial" w:cs="Arial"/>
          <w:color w:val="auto"/>
          <w:sz w:val="17"/>
          <w:szCs w:val="17"/>
        </w:rPr>
        <w:fldChar w:fldCharType="end"/>
      </w:r>
      <w:r>
        <w:rPr>
          <w:rFonts w:hint="default" w:ascii="Arial" w:hAnsi="Arial" w:cs="Arial"/>
          <w:color w:val="auto"/>
          <w:sz w:val="17"/>
          <w:szCs w:val="17"/>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37E6BBFD">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.4.1 A sanção prevista no item 1</w:t>
      </w:r>
      <w:r>
        <w:rPr>
          <w:rFonts w:hint="default" w:cs="Arial"/>
          <w:color w:val="auto"/>
          <w:sz w:val="17"/>
          <w:szCs w:val="17"/>
          <w:lang w:val="pt-BR"/>
        </w:rPr>
        <w:t>0</w:t>
      </w:r>
      <w:r>
        <w:rPr>
          <w:rFonts w:hint="default" w:ascii="Arial" w:hAnsi="Arial" w:cs="Arial"/>
          <w:color w:val="auto"/>
          <w:sz w:val="17"/>
          <w:szCs w:val="17"/>
        </w:rPr>
        <w:t>.3.4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"art155viii" </w:instrText>
      </w:r>
      <w:r>
        <w:rPr>
          <w:rFonts w:hint="default" w:ascii="Arial" w:hAnsi="Arial" w:cs="Arial"/>
          <w:sz w:val="17"/>
          <w:szCs w:val="17"/>
        </w:rPr>
        <w:fldChar w:fldCharType="separate"/>
      </w:r>
      <w:r>
        <w:rPr>
          <w:rStyle w:val="13"/>
          <w:rFonts w:hint="default" w:ascii="Arial" w:hAnsi="Arial" w:cs="Arial"/>
          <w:color w:val="auto"/>
          <w:sz w:val="17"/>
          <w:szCs w:val="17"/>
        </w:rPr>
        <w:t>incisos 1</w:t>
      </w:r>
      <w:r>
        <w:rPr>
          <w:rStyle w:val="13"/>
          <w:rFonts w:hint="default" w:cs="Arial"/>
          <w:color w:val="auto"/>
          <w:sz w:val="17"/>
          <w:szCs w:val="17"/>
          <w:lang w:val="pt-BR"/>
        </w:rPr>
        <w:t>0</w:t>
      </w:r>
      <w:r>
        <w:rPr>
          <w:rStyle w:val="13"/>
          <w:rFonts w:hint="default" w:ascii="Arial" w:hAnsi="Arial" w:cs="Arial"/>
          <w:color w:val="auto"/>
          <w:sz w:val="17"/>
          <w:szCs w:val="17"/>
        </w:rPr>
        <w:t>.3.8, 1</w:t>
      </w:r>
      <w:r>
        <w:rPr>
          <w:rStyle w:val="13"/>
          <w:rFonts w:hint="default" w:cs="Arial"/>
          <w:color w:val="auto"/>
          <w:sz w:val="17"/>
          <w:szCs w:val="17"/>
          <w:lang w:val="pt-BR"/>
        </w:rPr>
        <w:t>0</w:t>
      </w:r>
      <w:r>
        <w:rPr>
          <w:rStyle w:val="13"/>
          <w:rFonts w:hint="default" w:ascii="Arial" w:hAnsi="Arial" w:cs="Arial"/>
          <w:color w:val="auto"/>
          <w:sz w:val="17"/>
          <w:szCs w:val="17"/>
        </w:rPr>
        <w:t>.3.9, 1</w:t>
      </w:r>
      <w:r>
        <w:rPr>
          <w:rStyle w:val="13"/>
          <w:rFonts w:hint="default" w:cs="Arial"/>
          <w:color w:val="auto"/>
          <w:sz w:val="17"/>
          <w:szCs w:val="17"/>
          <w:lang w:val="pt-BR"/>
        </w:rPr>
        <w:t>0</w:t>
      </w:r>
      <w:r>
        <w:rPr>
          <w:rStyle w:val="13"/>
          <w:rFonts w:hint="default" w:ascii="Arial" w:hAnsi="Arial" w:cs="Arial"/>
          <w:color w:val="auto"/>
          <w:sz w:val="17"/>
          <w:szCs w:val="17"/>
        </w:rPr>
        <w:t>.3.10, 1</w:t>
      </w:r>
      <w:r>
        <w:rPr>
          <w:rStyle w:val="13"/>
          <w:rFonts w:hint="default" w:cs="Arial"/>
          <w:color w:val="auto"/>
          <w:sz w:val="17"/>
          <w:szCs w:val="17"/>
          <w:lang w:val="pt-BR"/>
        </w:rPr>
        <w:t>0</w:t>
      </w:r>
      <w:r>
        <w:rPr>
          <w:rStyle w:val="13"/>
          <w:rFonts w:hint="default" w:ascii="Arial" w:hAnsi="Arial" w:cs="Arial"/>
          <w:color w:val="auto"/>
          <w:sz w:val="17"/>
          <w:szCs w:val="17"/>
        </w:rPr>
        <w:t>.3.11 e 1</w:t>
      </w:r>
      <w:r>
        <w:rPr>
          <w:rStyle w:val="13"/>
          <w:rFonts w:hint="default" w:cs="Arial"/>
          <w:color w:val="auto"/>
          <w:sz w:val="17"/>
          <w:szCs w:val="17"/>
          <w:lang w:val="pt-BR"/>
        </w:rPr>
        <w:t>0</w:t>
      </w:r>
      <w:r>
        <w:rPr>
          <w:rStyle w:val="13"/>
          <w:rFonts w:hint="default" w:ascii="Arial" w:hAnsi="Arial" w:cs="Arial"/>
          <w:color w:val="auto"/>
          <w:sz w:val="17"/>
          <w:szCs w:val="17"/>
        </w:rPr>
        <w:t>.3.12 do </w:t>
      </w:r>
      <w:r>
        <w:rPr>
          <w:rStyle w:val="13"/>
          <w:rFonts w:hint="default" w:ascii="Arial" w:hAnsi="Arial" w:cs="Arial"/>
          <w:bCs/>
          <w:color w:val="auto"/>
          <w:sz w:val="17"/>
          <w:szCs w:val="17"/>
        </w:rPr>
        <w:t>caput</w:t>
      </w:r>
      <w:r>
        <w:rPr>
          <w:rStyle w:val="13"/>
          <w:rFonts w:hint="default" w:ascii="Arial" w:hAnsi="Arial" w:cs="Arial"/>
          <w:color w:val="auto"/>
          <w:sz w:val="17"/>
          <w:szCs w:val="17"/>
        </w:rPr>
        <w:t> do art. 155 da lei 14.133/21</w:t>
      </w:r>
      <w:r>
        <w:rPr>
          <w:rStyle w:val="13"/>
          <w:rFonts w:hint="default" w:ascii="Arial" w:hAnsi="Arial" w:cs="Arial"/>
          <w:color w:val="auto"/>
          <w:sz w:val="17"/>
          <w:szCs w:val="17"/>
        </w:rPr>
        <w:fldChar w:fldCharType="end"/>
      </w:r>
      <w:r>
        <w:rPr>
          <w:rFonts w:hint="default" w:ascii="Arial" w:hAnsi="Arial" w:cs="Arial"/>
          <w:color w:val="auto"/>
          <w:sz w:val="17"/>
          <w:szCs w:val="17"/>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4C13958">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 A sanção estabelecida no item 1</w:t>
      </w:r>
      <w:r>
        <w:rPr>
          <w:rFonts w:hint="default" w:cs="Arial"/>
          <w:color w:val="auto"/>
          <w:sz w:val="17"/>
          <w:szCs w:val="17"/>
          <w:lang w:val="pt-BR"/>
        </w:rPr>
        <w:t>0</w:t>
      </w:r>
      <w:r>
        <w:rPr>
          <w:rFonts w:hint="default" w:ascii="Arial" w:hAnsi="Arial" w:cs="Arial"/>
          <w:color w:val="auto"/>
          <w:sz w:val="17"/>
          <w:szCs w:val="17"/>
        </w:rPr>
        <w:t>.3.4 será precedida de análise jurídica e observará as seguintes regras:</w:t>
      </w:r>
    </w:p>
    <w:p w14:paraId="40028919">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.4.2.1 quando aplicada por órgão do Poder Executivo, será de competência da autoridade competente. </w:t>
      </w:r>
    </w:p>
    <w:p w14:paraId="61012BB1">
      <w:pPr>
        <w:pStyle w:val="306"/>
        <w:spacing w:before="0" w:after="0" w:line="240" w:lineRule="auto"/>
        <w:ind w:left="0"/>
        <w:rPr>
          <w:rFonts w:hint="default" w:ascii="Arial" w:hAnsi="Arial" w:cs="Arial"/>
          <w:b w:val="0"/>
          <w:sz w:val="17"/>
          <w:szCs w:val="17"/>
        </w:rPr>
      </w:pPr>
      <w:r>
        <w:rPr>
          <w:rFonts w:hint="default" w:ascii="Arial" w:hAnsi="Arial" w:cs="Arial"/>
          <w:b w:val="0"/>
          <w:sz w:val="17"/>
          <w:szCs w:val="17"/>
        </w:rPr>
        <w:t>1</w:t>
      </w:r>
      <w:r>
        <w:rPr>
          <w:rFonts w:hint="default" w:cs="Arial"/>
          <w:b w:val="0"/>
          <w:sz w:val="17"/>
          <w:szCs w:val="17"/>
          <w:lang w:val="pt-BR"/>
        </w:rPr>
        <w:t>0</w:t>
      </w:r>
      <w:r>
        <w:rPr>
          <w:rFonts w:hint="default" w:ascii="Arial" w:hAnsi="Arial" w:cs="Arial"/>
          <w:b w:val="0"/>
          <w:sz w:val="17"/>
          <w:szCs w:val="17"/>
        </w:rPr>
        <w:t>.4.2.2 As sanções previstas nos incisos I, III e IV do caput deste artigo poderão ser aplicadas cumulativamente com a prevista no inciso II do caput deste artigo.</w:t>
      </w:r>
    </w:p>
    <w:p w14:paraId="136183CA">
      <w:pPr>
        <w:pStyle w:val="280"/>
        <w:numPr>
          <w:ilvl w:val="0"/>
          <w:numId w:val="0"/>
        </w:numPr>
        <w:tabs>
          <w:tab w:val="left" w:pos="0"/>
          <w:tab w:val="clear" w:pos="567"/>
        </w:tabs>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444FCC00">
      <w:pPr>
        <w:pStyle w:val="305"/>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.4.2.4 A aplicação das sanções previstas neste edital não exclui, em hipótese alguma, a obrigação de reparação integral dos danos causados ao Município.</w:t>
      </w:r>
    </w:p>
    <w:p w14:paraId="11CFEDCF">
      <w:pPr>
        <w:pStyle w:val="305"/>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.5 As infrações e sanções deverão ser apuradas por uma comissão processante nomeada para as atribuições.</w:t>
      </w:r>
    </w:p>
    <w:p w14:paraId="7EA20CDC">
      <w:pPr>
        <w:spacing w:line="240" w:lineRule="auto"/>
        <w:jc w:val="both"/>
        <w:rPr>
          <w:rStyle w:val="13"/>
          <w:rFonts w:hint="default" w:ascii="Arial" w:hAnsi="Arial" w:cs="Arial"/>
          <w:sz w:val="17"/>
          <w:szCs w:val="17"/>
          <w:lang w:val="pt-BR"/>
        </w:rPr>
      </w:pPr>
      <w:r>
        <w:rPr>
          <w:rFonts w:hint="default" w:ascii="Arial" w:hAnsi="Arial" w:cs="Arial"/>
          <w:sz w:val="17"/>
          <w:szCs w:val="17"/>
        </w:rPr>
        <w:t>10.</w:t>
      </w:r>
      <w:r>
        <w:rPr>
          <w:rFonts w:hint="default" w:ascii="Arial" w:hAnsi="Arial" w:cs="Arial"/>
          <w:sz w:val="17"/>
          <w:szCs w:val="17"/>
          <w:lang w:val="pt-BR"/>
        </w:rPr>
        <w:t>6</w:t>
      </w:r>
      <w:r>
        <w:rPr>
          <w:rFonts w:hint="default" w:ascii="Arial" w:hAnsi="Arial" w:cs="Arial"/>
          <w:sz w:val="17"/>
          <w:szCs w:val="17"/>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3"/>
          <w:rFonts w:hint="default" w:ascii="Arial" w:hAnsi="Arial" w:cs="Arial"/>
          <w:sz w:val="17"/>
          <w:szCs w:val="17"/>
        </w:rPr>
        <w:t>Instrução Normativa SEGES/ME nº 26, de 13 de abril de 2022</w:t>
      </w:r>
      <w:r>
        <w:rPr>
          <w:rStyle w:val="13"/>
          <w:rFonts w:hint="default" w:ascii="Arial" w:hAnsi="Arial" w:cs="Arial"/>
          <w:sz w:val="17"/>
          <w:szCs w:val="17"/>
        </w:rPr>
        <w:fldChar w:fldCharType="end"/>
      </w:r>
      <w:r>
        <w:rPr>
          <w:rStyle w:val="13"/>
          <w:rFonts w:hint="default" w:ascii="Arial" w:hAnsi="Arial" w:cs="Arial"/>
          <w:sz w:val="17"/>
          <w:szCs w:val="17"/>
          <w:lang w:val="pt-BR"/>
        </w:rPr>
        <w:t>.</w:t>
      </w:r>
    </w:p>
    <w:p w14:paraId="51808B1A">
      <w:pPr>
        <w:spacing w:line="240" w:lineRule="auto"/>
        <w:jc w:val="both"/>
        <w:rPr>
          <w:rStyle w:val="13"/>
          <w:rFonts w:hint="default" w:ascii="Arial" w:hAnsi="Arial" w:cs="Arial"/>
          <w:sz w:val="17"/>
          <w:szCs w:val="17"/>
          <w:lang w:val="pt-BR"/>
        </w:rPr>
      </w:pPr>
    </w:p>
    <w:p w14:paraId="50A89246">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15A8EF68">
      <w:pPr>
        <w:pStyle w:val="305"/>
        <w:numPr>
          <w:ilvl w:val="0"/>
          <w:numId w:val="0"/>
        </w:numPr>
        <w:tabs>
          <w:tab w:val="left" w:pos="426"/>
          <w:tab w:val="left" w:pos="709"/>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 </w:t>
      </w: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10828F0E">
      <w:pPr>
        <w:pStyle w:val="318"/>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11.1.1 </w:t>
      </w: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6F17EF">
      <w:pPr>
        <w:pStyle w:val="318"/>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11.1.2 </w:t>
      </w: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3FCC1D25">
      <w:pPr>
        <w:pStyle w:val="318"/>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11.1.3 </w:t>
      </w: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20"/>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11.1.4 </w:t>
      </w:r>
      <w:r>
        <w:rPr>
          <w:rFonts w:hint="default" w:ascii="Arial" w:hAnsi="Arial" w:cs="Arial"/>
          <w:sz w:val="17"/>
          <w:szCs w:val="17"/>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11.1.4.1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79C09A0">
      <w:pPr>
        <w:pStyle w:val="320"/>
        <w:numPr>
          <w:ilvl w:val="0"/>
          <w:numId w:val="0"/>
        </w:numPr>
        <w:tabs>
          <w:tab w:val="left" w:pos="709"/>
          <w:tab w:val="left" w:pos="851"/>
        </w:tabs>
        <w:spacing w:before="0" w:after="0" w:line="240" w:lineRule="auto"/>
        <w:ind w:leftChars="0"/>
        <w:rPr>
          <w:rFonts w:hint="default" w:ascii="Arial" w:hAnsi="Arial" w:cs="Arial"/>
          <w:bCs/>
          <w:sz w:val="17"/>
          <w:szCs w:val="17"/>
        </w:rPr>
      </w:pPr>
      <w:r>
        <w:rPr>
          <w:rFonts w:hint="default" w:ascii="Arial" w:hAnsi="Arial" w:cs="Arial"/>
          <w:sz w:val="17"/>
          <w:szCs w:val="17"/>
          <w:lang w:val="pt-BR"/>
        </w:rPr>
        <w:t xml:space="preserve">11.1.5 </w:t>
      </w:r>
      <w:r>
        <w:rPr>
          <w:rFonts w:hint="default" w:ascii="Arial" w:hAnsi="Arial" w:cs="Arial"/>
          <w:sz w:val="17"/>
          <w:szCs w:val="17"/>
        </w:rPr>
        <w:t>No caso da repactuação, poderá ser a pedido do interessado, conforme critérios definidos para a contratação.</w:t>
      </w:r>
    </w:p>
    <w:p w14:paraId="5926FFFC">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0EB54A5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12.1. </w:t>
      </w:r>
      <w:r>
        <w:rPr>
          <w:rFonts w:hint="default" w:ascii="Arial" w:hAnsi="Arial" w:cs="Arial"/>
          <w:bCs/>
          <w:sz w:val="17"/>
          <w:szCs w:val="17"/>
        </w:rPr>
        <w:t>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D99BA2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12.2.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135A8757">
      <w:pPr>
        <w:spacing w:line="240" w:lineRule="auto"/>
        <w:jc w:val="both"/>
        <w:rPr>
          <w:rFonts w:hint="default" w:ascii="Arial" w:hAnsi="Arial" w:cs="Arial"/>
          <w:b/>
          <w:bCs/>
          <w:sz w:val="17"/>
          <w:szCs w:val="17"/>
        </w:rPr>
      </w:pPr>
    </w:p>
    <w:p w14:paraId="47F58EE8">
      <w:pPr>
        <w:pStyle w:val="222"/>
        <w:numPr>
          <w:ilvl w:val="0"/>
          <w:numId w:val="0"/>
        </w:numPr>
        <w:tabs>
          <w:tab w:val="left" w:pos="992"/>
        </w:tabs>
        <w:spacing w:before="3" w:line="240"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4BB83CD7">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Lei nº 13.709, de 14 de agosto de 2018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2E23198">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6º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EBE7A09">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2BF50183">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14BAD89D">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15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16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7AF816E">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1D20FE75">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B43B0F5">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3F513EC1">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73ADFEAF">
      <w:pPr>
        <w:pStyle w:val="222"/>
        <w:numPr>
          <w:ilvl w:val="0"/>
          <w:numId w:val="0"/>
        </w:numPr>
        <w:tabs>
          <w:tab w:val="left" w:pos="992"/>
        </w:tabs>
        <w:spacing w:before="3" w:line="240" w:lineRule="auto"/>
        <w:ind w:leftChars="0"/>
        <w:jc w:val="both"/>
        <w:rPr>
          <w:rFonts w:hint="default" w:ascii="Arial" w:hAnsi="Arial" w:cs="Arial"/>
          <w:b/>
          <w:bCs/>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C2E3F03">
      <w:pPr>
        <w:spacing w:line="240" w:lineRule="auto"/>
        <w:jc w:val="both"/>
        <w:rPr>
          <w:rFonts w:hint="default" w:ascii="Arial" w:hAnsi="Arial" w:cs="Arial"/>
          <w:b/>
          <w:bCs/>
          <w:sz w:val="17"/>
          <w:szCs w:val="17"/>
        </w:rPr>
      </w:pPr>
    </w:p>
    <w:p w14:paraId="0264A3CD">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QUARTA</w:t>
      </w:r>
      <w:r>
        <w:rPr>
          <w:rFonts w:hint="default" w:ascii="Arial" w:hAnsi="Arial" w:cs="Arial"/>
          <w:b/>
          <w:bCs/>
          <w:sz w:val="17"/>
          <w:szCs w:val="17"/>
        </w:rPr>
        <w:t xml:space="preserve"> - DA AUTORIZAÇÃO PARA AQUISIÇÃO E EMISSÃO DAS AUTORIZAÇÕES DE COMPRA</w:t>
      </w:r>
    </w:p>
    <w:p w14:paraId="4A02B57D">
      <w:pPr>
        <w:spacing w:line="240" w:lineRule="auto"/>
        <w:jc w:val="both"/>
        <w:rPr>
          <w:rFonts w:hint="default" w:ascii="Arial" w:hAnsi="Arial" w:cs="Arial"/>
          <w:bCs/>
          <w:sz w:val="17"/>
          <w:szCs w:val="17"/>
        </w:rPr>
      </w:pPr>
      <w:r>
        <w:rPr>
          <w:rFonts w:hint="default" w:ascii="Arial" w:hAnsi="Arial" w:cs="Arial"/>
          <w:b w:val="0"/>
          <w:bCs w:val="0"/>
          <w:sz w:val="17"/>
          <w:szCs w:val="17"/>
        </w:rPr>
        <w:t>1</w:t>
      </w:r>
      <w:r>
        <w:rPr>
          <w:rFonts w:hint="default" w:ascii="Arial" w:hAnsi="Arial" w:cs="Arial"/>
          <w:b w:val="0"/>
          <w:bCs w:val="0"/>
          <w:sz w:val="17"/>
          <w:szCs w:val="17"/>
          <w:lang w:val="pt-BR"/>
        </w:rPr>
        <w:t>4</w:t>
      </w:r>
      <w:r>
        <w:rPr>
          <w:rFonts w:hint="default" w:ascii="Arial" w:hAnsi="Arial" w:cs="Arial"/>
          <w:b w:val="0"/>
          <w:bCs w:val="0"/>
          <w:sz w:val="17"/>
          <w:szCs w:val="17"/>
        </w:rPr>
        <w:t>.1.</w:t>
      </w:r>
      <w:r>
        <w:rPr>
          <w:rFonts w:hint="default" w:ascii="Arial" w:hAnsi="Arial" w:cs="Arial"/>
          <w:b/>
          <w:bCs/>
          <w:sz w:val="17"/>
          <w:szCs w:val="17"/>
        </w:rPr>
        <w:t xml:space="preserve">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084F9385">
      <w:pPr>
        <w:spacing w:line="240" w:lineRule="auto"/>
        <w:jc w:val="both"/>
        <w:rPr>
          <w:rFonts w:hint="default" w:ascii="Arial" w:hAnsi="Arial" w:cs="Arial"/>
          <w:b/>
          <w:bCs/>
          <w:sz w:val="17"/>
          <w:szCs w:val="17"/>
        </w:rPr>
      </w:pPr>
    </w:p>
    <w:p w14:paraId="11CA1B46">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QUINTA</w:t>
      </w:r>
      <w:r>
        <w:rPr>
          <w:rFonts w:hint="default" w:ascii="Arial" w:hAnsi="Arial" w:cs="Arial"/>
          <w:b/>
          <w:bCs/>
          <w:sz w:val="17"/>
          <w:szCs w:val="17"/>
        </w:rPr>
        <w:t xml:space="preserve"> - </w:t>
      </w:r>
      <w:r>
        <w:rPr>
          <w:rFonts w:hint="default" w:ascii="Arial" w:hAnsi="Arial" w:cs="Arial" w:eastAsiaTheme="minorHAnsi"/>
          <w:b/>
          <w:bCs/>
          <w:color w:val="000000"/>
          <w:sz w:val="17"/>
          <w:szCs w:val="17"/>
          <w:lang w:eastAsia="en-US"/>
        </w:rPr>
        <w:t>GESTOR DA ATA DE REGISTRO DE PREÇO</w:t>
      </w:r>
    </w:p>
    <w:p w14:paraId="20B4127A">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 xml:space="preserve">.1 A execução do contrato deverá ser acompanhada e fiscalizada </w:t>
      </w:r>
      <w:r>
        <w:rPr>
          <w:rFonts w:hint="default" w:ascii="Arial" w:hAnsi="Arial" w:cs="Arial" w:eastAsiaTheme="minorHAnsi"/>
          <w:b w:val="0"/>
          <w:bCs/>
          <w:color w:val="000000"/>
          <w:sz w:val="17"/>
          <w:szCs w:val="17"/>
          <w:lang w:val="pt-BR" w:eastAsia="en-US"/>
        </w:rPr>
        <w:t>pela servidora</w:t>
      </w:r>
      <w:r>
        <w:rPr>
          <w:rFonts w:hint="default" w:ascii="Arial" w:hAnsi="Arial" w:cs="Arial" w:eastAsiaTheme="minorHAnsi"/>
          <w:b w:val="0"/>
          <w:bCs/>
          <w:sz w:val="17"/>
          <w:szCs w:val="17"/>
          <w:lang w:eastAsia="en-US"/>
        </w:rPr>
        <w:t xml:space="preserve"> nos termos estabelecidos no presente instrumento</w:t>
      </w:r>
      <w:r>
        <w:rPr>
          <w:rFonts w:hint="default" w:ascii="Arial" w:hAnsi="Arial" w:cs="Arial" w:eastAsiaTheme="minorHAnsi"/>
          <w:b w:val="0"/>
          <w:bCs/>
          <w:sz w:val="17"/>
          <w:szCs w:val="17"/>
          <w:lang w:val="pt-BR" w:eastAsia="en-US"/>
        </w:rPr>
        <w:t>, a saber: Natália da Silva Gonçalves Samel.</w:t>
      </w:r>
    </w:p>
    <w:p w14:paraId="7F1AD50A">
      <w:pPr>
        <w:spacing w:line="240" w:lineRule="auto"/>
        <w:jc w:val="both"/>
        <w:rPr>
          <w:rFonts w:ascii="Arial" w:hAnsi="Arial" w:eastAsia="Arial-BoldMT" w:cs="Arial"/>
          <w:bCs/>
          <w:color w:val="000000"/>
          <w:sz w:val="17"/>
          <w:szCs w:val="17"/>
          <w:lang w:eastAsia="pt-BR"/>
        </w:rPr>
      </w:pPr>
      <w:r>
        <w:rPr>
          <w:rFonts w:hint="default" w:ascii="Arial" w:hAnsi="Arial" w:eastAsia="Arial"/>
          <w:b w:val="0"/>
          <w:bCs w:val="0"/>
          <w:i w:val="0"/>
          <w:smallCaps w:val="0"/>
          <w:strike w:val="0"/>
          <w:color w:val="000000"/>
          <w:sz w:val="17"/>
          <w:szCs w:val="17"/>
          <w:u w:val="none"/>
          <w:shd w:val="clear" w:fill="auto"/>
          <w:vertAlign w:val="baseline"/>
          <w:rtl w:val="0"/>
          <w:lang w:val="pt-BR"/>
        </w:rPr>
        <w:t>15</w:t>
      </w:r>
      <w:r>
        <w:rPr>
          <w:rFonts w:hint="default" w:ascii="Arial" w:hAnsi="Arial" w:cs="Arial" w:eastAsiaTheme="minorHAnsi"/>
          <w:b w:val="0"/>
          <w:bCs/>
          <w:color w:val="000000"/>
          <w:sz w:val="17"/>
          <w:szCs w:val="17"/>
          <w:lang w:eastAsia="en-US"/>
        </w:rPr>
        <w:t xml:space="preserve">.2 </w:t>
      </w:r>
      <w:r>
        <w:rPr>
          <w:rFonts w:ascii="Arial" w:hAnsi="Arial" w:eastAsia="Arial-BoldMT" w:cs="Arial"/>
          <w:bCs/>
          <w:color w:val="000000"/>
          <w:sz w:val="17"/>
          <w:szCs w:val="17"/>
          <w:lang w:eastAsia="pt-BR"/>
        </w:rPr>
        <w:t xml:space="preserve"> A contratada deverá permitir e facilitar, a qualquer tempo, a fiscalização do fornecimento das refeições, garantindo livre acesso às informações e documentos pertinentes, sem que isso implique transferência de responsabilidade à Administração.</w:t>
      </w:r>
    </w:p>
    <w:p w14:paraId="181F2598">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15.3 </w:t>
      </w:r>
      <w:r>
        <w:rPr>
          <w:rFonts w:ascii="Arial" w:hAnsi="Arial" w:eastAsia="Arial-BoldMT" w:cs="Arial"/>
          <w:bCs/>
          <w:color w:val="000000"/>
          <w:sz w:val="17"/>
          <w:szCs w:val="17"/>
          <w:lang w:eastAsia="pt-BR"/>
        </w:rPr>
        <w:t>A fiscalização não exclui nem reduz a responsabilidade da contratada pela qualidade, pontualidade, higiene e conformidade das refeições fornecidas, seja no restaurante ou por meio de entrega externa. Compete ao gestor do contrato o controle administrativo e documental da execução, e ao fiscal designado a verificação do fornecimento, da qualidade e das condições das refeições, bem como o atesto das notas fiscais.</w:t>
      </w:r>
    </w:p>
    <w:p w14:paraId="620EE8DC">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15.4 </w:t>
      </w:r>
      <w:r>
        <w:rPr>
          <w:rFonts w:ascii="Arial" w:hAnsi="Arial" w:eastAsia="Arial-BoldMT" w:cs="Arial"/>
          <w:bCs/>
          <w:color w:val="000000"/>
          <w:sz w:val="17"/>
          <w:szCs w:val="17"/>
          <w:lang w:eastAsia="pt-BR"/>
        </w:rPr>
        <w:t>O fiscal deverá registrar todas as ocorrências relevantes e adotar as medidas necessárias à correção de falhas, comunicando a autoridade competente. A fiscalização não exime a contratada de suas responsabilidades legais e contratuais, nem implica em corresponsabilidade da Administração Pública, nos termos da Lei nº 14.133/2021.</w:t>
      </w:r>
    </w:p>
    <w:p w14:paraId="18E6DC6A">
      <w:pPr>
        <w:tabs>
          <w:tab w:val="left" w:pos="567"/>
        </w:tabs>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val="pt-BR" w:eastAsia="en-US"/>
        </w:rPr>
        <w:t xml:space="preserve">15.5 </w:t>
      </w:r>
      <w:r>
        <w:rPr>
          <w:rFonts w:hint="default" w:ascii="Arial" w:hAnsi="Arial" w:cs="Arial" w:eastAsiaTheme="minorHAnsi"/>
          <w:b w:val="0"/>
          <w:bCs/>
          <w:color w:val="000000"/>
          <w:sz w:val="17"/>
          <w:szCs w:val="17"/>
          <w:lang w:eastAsia="en-US"/>
        </w:rPr>
        <w:t>A fiscalização ou acompanhamento do contrato pela Administração não excluiu ou reduz a responsabilidade do contratado.</w:t>
      </w:r>
    </w:p>
    <w:p w14:paraId="49DB4B73">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b w:val="0"/>
          <w:bCs/>
          <w:iCs/>
          <w:sz w:val="17"/>
          <w:szCs w:val="17"/>
          <w:lang w:val="pt-BR"/>
        </w:rPr>
        <w:t xml:space="preserve">15.6 </w:t>
      </w:r>
      <w:r>
        <w:rPr>
          <w:rFonts w:hint="default" w:ascii="Arial" w:hAnsi="Arial" w:cs="Arial"/>
          <w:b w:val="0"/>
          <w:bCs/>
          <w:iCs/>
          <w:sz w:val="17"/>
          <w:szCs w:val="17"/>
        </w:rPr>
        <w:t>N</w:t>
      </w:r>
      <w:r>
        <w:rPr>
          <w:rFonts w:hint="default" w:ascii="Arial" w:hAnsi="Arial" w:cs="Arial"/>
          <w:iCs/>
          <w:sz w:val="17"/>
          <w:szCs w:val="17"/>
        </w:rPr>
        <w:t xml:space="preserve">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452855DA">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15.7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fiscal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do objeto</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lang w:val="pt-BR"/>
        </w:rPr>
        <w:t xml:space="preserve">15.6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procedência da prestação do </w:t>
      </w:r>
      <w:r>
        <w:rPr>
          <w:rFonts w:hint="default" w:ascii="Arial" w:hAnsi="Arial" w:cs="Arial"/>
          <w:spacing w:val="-59"/>
          <w:sz w:val="17"/>
          <w:szCs w:val="17"/>
        </w:rPr>
        <w:t xml:space="preserve"> </w:t>
      </w:r>
      <w:r>
        <w:rPr>
          <w:rFonts w:hint="default" w:ascii="Arial" w:hAnsi="Arial" w:cs="Arial"/>
          <w:sz w:val="17"/>
          <w:szCs w:val="17"/>
        </w:rPr>
        <w:t xml:space="preserve">objeto. </w:t>
      </w:r>
    </w:p>
    <w:p w14:paraId="1BB51F47">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15.8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13FB15A9">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15.9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3A02201C">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lang w:val="pt-BR"/>
        </w:rPr>
      </w:pPr>
      <w:r>
        <w:rPr>
          <w:rFonts w:hint="default" w:ascii="Arial" w:hAnsi="Arial" w:cs="Arial"/>
          <w:sz w:val="17"/>
          <w:szCs w:val="17"/>
          <w:lang w:val="pt-BR"/>
        </w:rPr>
        <w:t xml:space="preserve">15.10 </w:t>
      </w:r>
      <w:r>
        <w:rPr>
          <w:rFonts w:hint="default" w:ascii="Arial" w:hAnsi="Arial" w:cs="Arial"/>
          <w:b w:val="0"/>
          <w:bCs/>
          <w:sz w:val="17"/>
          <w:szCs w:val="17"/>
          <w:u w:val="single"/>
          <w:lang w:val="pt-BR"/>
        </w:rPr>
        <w:t>A responsabilidade para verificação das certidões de regularidade fiscal e trabalhista cabe ao fiscal do contrato e/ou gestor do contrato. As assinaturas no verso da nota atestam a regularidade e obrigações cumpridas pela empresa.</w:t>
      </w:r>
    </w:p>
    <w:p w14:paraId="06C1FFC5">
      <w:pPr>
        <w:spacing w:line="240" w:lineRule="auto"/>
        <w:jc w:val="both"/>
        <w:rPr>
          <w:rFonts w:hint="default" w:ascii="Arial" w:hAnsi="Arial" w:cs="Arial" w:eastAsiaTheme="minorHAnsi"/>
          <w:b/>
          <w:bCs/>
          <w:sz w:val="17"/>
          <w:szCs w:val="17"/>
        </w:rPr>
      </w:pPr>
    </w:p>
    <w:p w14:paraId="5C626867">
      <w:pPr>
        <w:spacing w:line="240" w:lineRule="auto"/>
        <w:jc w:val="both"/>
        <w:rPr>
          <w:rFonts w:hint="default" w:ascii="Arial" w:hAnsi="Arial" w:cs="Arial"/>
          <w:b/>
          <w:bCs/>
          <w:sz w:val="17"/>
          <w:szCs w:val="17"/>
        </w:rPr>
      </w:pPr>
      <w:r>
        <w:rPr>
          <w:rFonts w:hint="default" w:ascii="Arial" w:hAnsi="Arial" w:cs="Arial" w:eastAsiaTheme="minorHAnsi"/>
          <w:b/>
          <w:bCs/>
          <w:sz w:val="17"/>
          <w:szCs w:val="17"/>
        </w:rPr>
        <w:t xml:space="preserve">CLÁUSULA DÉCIMA </w:t>
      </w:r>
      <w:r>
        <w:rPr>
          <w:rFonts w:hint="default" w:ascii="Arial" w:hAnsi="Arial" w:cs="Arial" w:eastAsiaTheme="minorHAnsi"/>
          <w:b/>
          <w:bCs/>
          <w:sz w:val="17"/>
          <w:szCs w:val="17"/>
          <w:lang w:val="pt-BR"/>
        </w:rPr>
        <w:t>SEXTA</w:t>
      </w:r>
      <w:r>
        <w:rPr>
          <w:rFonts w:hint="default" w:ascii="Arial" w:hAnsi="Arial" w:cs="Arial" w:eastAsiaTheme="minorHAnsi"/>
          <w:b/>
          <w:bCs/>
          <w:sz w:val="17"/>
          <w:szCs w:val="17"/>
        </w:rPr>
        <w:t xml:space="preserve">- DAS DISPOSIÇÕES FINAIS </w:t>
      </w:r>
    </w:p>
    <w:p w14:paraId="0A64A08E">
      <w:pPr>
        <w:spacing w:line="240" w:lineRule="auto"/>
        <w:jc w:val="both"/>
        <w:rPr>
          <w:rFonts w:hint="default" w:ascii="Arial" w:hAnsi="Arial" w:cs="Arial"/>
          <w:bCs/>
          <w:sz w:val="17"/>
          <w:szCs w:val="17"/>
        </w:rPr>
      </w:pPr>
      <w:r>
        <w:rPr>
          <w:rFonts w:hint="default" w:ascii="Arial" w:hAnsi="Arial" w:cs="Arial" w:eastAsiaTheme="minorHAnsi"/>
          <w:b w:val="0"/>
          <w:bCs w:val="0"/>
          <w:sz w:val="17"/>
          <w:szCs w:val="17"/>
        </w:rPr>
        <w:t>1</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.1. A</w:t>
      </w:r>
      <w:r>
        <w:rPr>
          <w:rFonts w:hint="default" w:ascii="Arial" w:hAnsi="Arial" w:cs="Arial" w:eastAsiaTheme="minorHAnsi"/>
          <w:bCs/>
          <w:sz w:val="17"/>
          <w:szCs w:val="17"/>
        </w:rPr>
        <w:t xml:space="preserve">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1705CA20">
      <w:pPr>
        <w:jc w:val="both"/>
        <w:rPr>
          <w:rFonts w:hint="default" w:ascii="Arial" w:hAnsi="Arial" w:cs="Arial" w:eastAsiaTheme="minorHAnsi"/>
          <w:b w:val="0"/>
          <w:bCs w:val="0"/>
          <w:sz w:val="17"/>
          <w:szCs w:val="17"/>
        </w:rPr>
      </w:pPr>
      <w:r>
        <w:rPr>
          <w:rFonts w:hint="default" w:ascii="Arial" w:hAnsi="Arial" w:cs="Arial" w:eastAsiaTheme="minorHAnsi"/>
          <w:b w:val="0"/>
          <w:bCs w:val="0"/>
          <w:sz w:val="17"/>
          <w:szCs w:val="17"/>
        </w:rPr>
        <w:t>Cataguases, ___ de _de 202</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w:t>
      </w:r>
    </w:p>
    <w:p w14:paraId="10631D5B">
      <w:pPr>
        <w:jc w:val="both"/>
        <w:rPr>
          <w:rFonts w:hint="default" w:ascii="Arial" w:hAnsi="Arial" w:cs="Arial" w:eastAsiaTheme="minorHAnsi"/>
          <w:sz w:val="17"/>
          <w:szCs w:val="17"/>
        </w:rPr>
      </w:pPr>
    </w:p>
    <w:p w14:paraId="38BACB4E">
      <w:pPr>
        <w:jc w:val="center"/>
        <w:rPr>
          <w:rFonts w:ascii="Arial" w:hAnsi="Arial" w:cs="Arial"/>
          <w:b/>
          <w:bCs/>
          <w:sz w:val="26"/>
          <w:szCs w:val="26"/>
        </w:rPr>
      </w:pPr>
      <w:r>
        <w:rPr>
          <w:rFonts w:hint="default" w:ascii="Arial" w:hAnsi="Arial" w:cs="Arial"/>
          <w:b/>
          <w:bCs/>
          <w:sz w:val="26"/>
          <w:szCs w:val="26"/>
          <w:lang w:val="pt-BR"/>
        </w:rPr>
        <w:t>A</w:t>
      </w:r>
      <w:r>
        <w:rPr>
          <w:rFonts w:ascii="Arial" w:hAnsi="Arial" w:cs="Arial"/>
          <w:b/>
          <w:bCs/>
          <w:sz w:val="26"/>
          <w:szCs w:val="26"/>
        </w:rPr>
        <w:t>NEXO IV</w:t>
      </w:r>
    </w:p>
    <w:p w14:paraId="57849830">
      <w:pPr>
        <w:spacing w:line="200" w:lineRule="atLeast"/>
        <w:jc w:val="both"/>
        <w:rPr>
          <w:rFonts w:ascii="Garamond" w:hAnsi="Garamond"/>
          <w:b/>
          <w:sz w:val="20"/>
          <w:szCs w:val="20"/>
          <w:lang w:eastAsia="ar-SA"/>
        </w:rPr>
      </w:pPr>
    </w:p>
    <w:p w14:paraId="242C586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043/2026</w:t>
      </w:r>
    </w:p>
    <w:p w14:paraId="48D9D919">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018/2026</w:t>
      </w:r>
    </w:p>
    <w:p w14:paraId="1552BD48">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018/2026</w:t>
      </w:r>
    </w:p>
    <w:p w14:paraId="6C2640FB">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16"/>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30"/>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30"/>
        <w:spacing w:before="0" w:after="0"/>
        <w:jc w:val="center"/>
        <w:rPr>
          <w:rFonts w:ascii="Arial" w:hAnsi="Arial" w:cs="Arial"/>
          <w:sz w:val="20"/>
          <w:szCs w:val="20"/>
          <w:highlight w:val="none"/>
        </w:rPr>
      </w:pPr>
    </w:p>
    <w:p w14:paraId="0F433A4B">
      <w:pPr>
        <w:pStyle w:val="330"/>
        <w:spacing w:before="0" w:after="0"/>
        <w:jc w:val="center"/>
        <w:rPr>
          <w:rFonts w:ascii="Arial" w:hAnsi="Arial" w:cs="Arial"/>
          <w:sz w:val="20"/>
          <w:szCs w:val="20"/>
          <w:highlight w:val="none"/>
        </w:rPr>
      </w:pPr>
    </w:p>
    <w:p w14:paraId="7EABD6D9">
      <w:pPr>
        <w:pStyle w:val="330"/>
        <w:spacing w:before="0" w:after="0"/>
        <w:jc w:val="center"/>
        <w:rPr>
          <w:rFonts w:ascii="Arial" w:hAnsi="Arial" w:cs="Arial"/>
          <w:sz w:val="20"/>
          <w:szCs w:val="20"/>
          <w:highlight w:val="none"/>
        </w:rPr>
      </w:pPr>
    </w:p>
    <w:p w14:paraId="188A52D6">
      <w:pPr>
        <w:pStyle w:val="330"/>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30"/>
        <w:spacing w:before="0" w:after="0"/>
        <w:jc w:val="center"/>
        <w:rPr>
          <w:rFonts w:ascii="Arial" w:hAnsi="Arial" w:cs="Arial"/>
          <w:b/>
          <w:bCs/>
          <w:sz w:val="26"/>
          <w:szCs w:val="26"/>
        </w:rPr>
      </w:pPr>
      <w:r>
        <w:rPr>
          <w:rFonts w:ascii="Arial" w:hAnsi="Arial" w:cs="Arial"/>
          <w:sz w:val="20"/>
          <w:szCs w:val="20"/>
          <w:highlight w:val="none"/>
        </w:rPr>
        <w:t>Ass. Responsável</w:t>
      </w:r>
    </w:p>
    <w:p w14:paraId="454D03E8">
      <w:pPr>
        <w:jc w:val="center"/>
        <w:rPr>
          <w:rFonts w:ascii="Arial" w:hAnsi="Arial" w:cs="Arial"/>
          <w:b/>
          <w:bCs/>
          <w:sz w:val="26"/>
          <w:szCs w:val="26"/>
        </w:rPr>
      </w:pPr>
    </w:p>
    <w:p w14:paraId="25E352B3">
      <w:pPr>
        <w:ind w:firstLine="567"/>
        <w:jc w:val="center"/>
        <w:rPr>
          <w:rFonts w:ascii="Arial" w:hAnsi="Arial" w:cs="Arial"/>
          <w:b/>
          <w:bCs/>
          <w:sz w:val="20"/>
          <w:szCs w:val="20"/>
        </w:rPr>
      </w:pPr>
    </w:p>
    <w:p w14:paraId="2612534C">
      <w:pPr>
        <w:jc w:val="both"/>
        <w:rPr>
          <w:rFonts w:ascii="Arial" w:hAnsi="Arial" w:cs="Arial"/>
          <w:b/>
          <w:bCs/>
          <w:sz w:val="26"/>
          <w:szCs w:val="26"/>
        </w:rPr>
      </w:pPr>
    </w:p>
    <w:p w14:paraId="18B2DEBC">
      <w:pPr>
        <w:jc w:val="center"/>
        <w:rPr>
          <w:rFonts w:ascii="Arial" w:hAnsi="Arial" w:cs="Arial"/>
          <w:b/>
          <w:bCs/>
          <w:sz w:val="30"/>
          <w:szCs w:val="30"/>
        </w:rPr>
      </w:pPr>
    </w:p>
    <w:p w14:paraId="5B669858">
      <w:pPr>
        <w:jc w:val="center"/>
        <w:rPr>
          <w:rFonts w:ascii="Arial" w:hAnsi="Arial" w:cs="Arial"/>
          <w:b/>
          <w:bCs/>
          <w:sz w:val="30"/>
          <w:szCs w:val="30"/>
        </w:rPr>
      </w:pPr>
      <w:r>
        <w:rPr>
          <w:rFonts w:ascii="Arial" w:hAnsi="Arial" w:cs="Arial"/>
          <w:b/>
          <w:bCs/>
          <w:sz w:val="30"/>
          <w:szCs w:val="30"/>
        </w:rPr>
        <w:t>ANEXO V</w:t>
      </w:r>
    </w:p>
    <w:p w14:paraId="0179F930">
      <w:pPr>
        <w:jc w:val="both"/>
        <w:rPr>
          <w:rFonts w:hint="default" w:ascii="Arial" w:hAnsi="Arial" w:cs="Arial"/>
          <w:b/>
          <w:bCs/>
          <w:sz w:val="20"/>
          <w:szCs w:val="20"/>
        </w:rPr>
      </w:pPr>
    </w:p>
    <w:p w14:paraId="40C6E9BE">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043/2026</w:t>
      </w:r>
    </w:p>
    <w:p w14:paraId="5CFA2D2C">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018/2026</w:t>
      </w:r>
    </w:p>
    <w:p w14:paraId="6B534C59">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018/2026</w:t>
      </w:r>
    </w:p>
    <w:p w14:paraId="65C91BB6">
      <w:pPr>
        <w:ind w:left="-284" w:firstLine="284"/>
        <w:jc w:val="both"/>
        <w:rPr>
          <w:rFonts w:hint="default" w:ascii="Arial" w:hAnsi="Arial" w:cs="Arial" w:eastAsiaTheme="minorHAnsi"/>
          <w:sz w:val="20"/>
          <w:szCs w:val="20"/>
        </w:rPr>
      </w:pPr>
    </w:p>
    <w:p w14:paraId="4967E674">
      <w:pPr>
        <w:autoSpaceDE w:val="0"/>
        <w:autoSpaceDN w:val="0"/>
        <w:adjustRightInd w:val="0"/>
        <w:jc w:val="center"/>
        <w:rPr>
          <w:rFonts w:ascii="Arial" w:hAnsi="Arial" w:cs="Arial"/>
          <w:b/>
          <w:bCs/>
          <w:sz w:val="20"/>
          <w:szCs w:val="20"/>
        </w:rPr>
      </w:pPr>
    </w:p>
    <w:p w14:paraId="592C4B4A">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5F4C6245">
      <w:pPr>
        <w:autoSpaceDE w:val="0"/>
        <w:autoSpaceDN w:val="0"/>
        <w:adjustRightInd w:val="0"/>
        <w:jc w:val="both"/>
        <w:rPr>
          <w:rFonts w:ascii="Arial" w:hAnsi="Arial" w:cs="Arial"/>
          <w:color w:val="000000"/>
          <w:sz w:val="20"/>
          <w:szCs w:val="20"/>
        </w:rPr>
      </w:pPr>
    </w:p>
    <w:p w14:paraId="631FFCEB">
      <w:pPr>
        <w:autoSpaceDE w:val="0"/>
        <w:autoSpaceDN w:val="0"/>
        <w:adjustRightInd w:val="0"/>
        <w:jc w:val="both"/>
        <w:rPr>
          <w:rFonts w:ascii="Arial" w:hAnsi="Arial" w:cs="Arial"/>
          <w:color w:val="000000"/>
          <w:sz w:val="20"/>
          <w:szCs w:val="20"/>
        </w:rPr>
      </w:pPr>
    </w:p>
    <w:p w14:paraId="469BAE28">
      <w:pPr>
        <w:autoSpaceDE w:val="0"/>
        <w:autoSpaceDN w:val="0"/>
        <w:adjustRightInd w:val="0"/>
        <w:jc w:val="both"/>
        <w:rPr>
          <w:rFonts w:ascii="Arial" w:hAnsi="Arial" w:cs="Arial"/>
          <w:color w:val="000000"/>
          <w:sz w:val="20"/>
          <w:szCs w:val="20"/>
        </w:rPr>
      </w:pPr>
    </w:p>
    <w:p w14:paraId="51732C63">
      <w:pPr>
        <w:autoSpaceDE w:val="0"/>
        <w:autoSpaceDN w:val="0"/>
        <w:adjustRightInd w:val="0"/>
        <w:jc w:val="both"/>
        <w:rPr>
          <w:rFonts w:ascii="Arial" w:hAnsi="Arial" w:cs="Arial"/>
          <w:color w:val="000000"/>
          <w:sz w:val="20"/>
          <w:szCs w:val="20"/>
        </w:rPr>
      </w:pPr>
    </w:p>
    <w:p w14:paraId="79B253F0">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73D491E8">
      <w:pPr>
        <w:rPr>
          <w:rFonts w:ascii="Arial" w:hAnsi="Arial" w:cs="Arial"/>
          <w:b/>
          <w:bCs/>
          <w:sz w:val="20"/>
          <w:szCs w:val="20"/>
        </w:rPr>
      </w:pPr>
    </w:p>
    <w:p w14:paraId="4F8EDE80">
      <w:pPr>
        <w:rPr>
          <w:rFonts w:ascii="Arial" w:hAnsi="Arial" w:cs="Arial"/>
          <w:b/>
          <w:bCs/>
          <w:sz w:val="20"/>
          <w:szCs w:val="20"/>
        </w:rPr>
      </w:pPr>
    </w:p>
    <w:p w14:paraId="6B085049">
      <w:pPr>
        <w:autoSpaceDE w:val="0"/>
        <w:autoSpaceDN w:val="0"/>
        <w:adjustRightInd w:val="0"/>
        <w:jc w:val="both"/>
        <w:outlineLvl w:val="0"/>
        <w:rPr>
          <w:rFonts w:ascii="Arial" w:hAnsi="Arial" w:cs="Arial"/>
          <w:color w:val="000000"/>
          <w:sz w:val="20"/>
          <w:szCs w:val="20"/>
        </w:rPr>
      </w:pPr>
    </w:p>
    <w:p w14:paraId="1E8E9A70">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5FF6272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1AEDCEE3">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59EB88D3">
      <w:pPr>
        <w:autoSpaceDE w:val="0"/>
        <w:autoSpaceDN w:val="0"/>
        <w:adjustRightInd w:val="0"/>
        <w:jc w:val="both"/>
        <w:rPr>
          <w:rFonts w:ascii="Arial" w:hAnsi="Arial" w:cs="Arial" w:eastAsiaTheme="minorHAnsi"/>
          <w:sz w:val="20"/>
          <w:szCs w:val="20"/>
        </w:rPr>
      </w:pPr>
    </w:p>
    <w:p w14:paraId="47EF5E5C">
      <w:pPr>
        <w:autoSpaceDE w:val="0"/>
        <w:autoSpaceDN w:val="0"/>
        <w:adjustRightInd w:val="0"/>
        <w:jc w:val="both"/>
        <w:rPr>
          <w:rFonts w:ascii="Arial" w:hAnsi="Arial" w:cs="Arial" w:eastAsiaTheme="minorHAnsi"/>
          <w:sz w:val="20"/>
          <w:szCs w:val="20"/>
        </w:rPr>
      </w:pPr>
    </w:p>
    <w:p w14:paraId="502C40B1">
      <w:pPr>
        <w:autoSpaceDE w:val="0"/>
        <w:autoSpaceDN w:val="0"/>
        <w:adjustRightInd w:val="0"/>
        <w:jc w:val="both"/>
        <w:rPr>
          <w:rFonts w:ascii="Arial" w:hAnsi="Arial" w:cs="Arial" w:eastAsiaTheme="minorHAnsi"/>
          <w:sz w:val="20"/>
          <w:szCs w:val="20"/>
        </w:rPr>
      </w:pPr>
    </w:p>
    <w:p w14:paraId="5E3478F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3371C98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25DAB039">
      <w:pPr>
        <w:autoSpaceDE w:val="0"/>
        <w:autoSpaceDN w:val="0"/>
        <w:adjustRightInd w:val="0"/>
        <w:jc w:val="center"/>
        <w:rPr>
          <w:rFonts w:ascii="Arial" w:hAnsi="Arial" w:cs="Arial" w:eastAsiaTheme="minorHAnsi"/>
          <w:sz w:val="20"/>
          <w:szCs w:val="20"/>
        </w:rPr>
      </w:pPr>
    </w:p>
    <w:p w14:paraId="786A688D">
      <w:pPr>
        <w:autoSpaceDE w:val="0"/>
        <w:autoSpaceDN w:val="0"/>
        <w:adjustRightInd w:val="0"/>
        <w:jc w:val="center"/>
        <w:rPr>
          <w:rFonts w:ascii="Arial" w:hAnsi="Arial" w:cs="Arial" w:eastAsiaTheme="minorHAnsi"/>
          <w:sz w:val="20"/>
          <w:szCs w:val="20"/>
        </w:rPr>
      </w:pPr>
    </w:p>
    <w:p w14:paraId="2491045B">
      <w:pPr>
        <w:autoSpaceDE w:val="0"/>
        <w:autoSpaceDN w:val="0"/>
        <w:adjustRightInd w:val="0"/>
        <w:jc w:val="center"/>
        <w:rPr>
          <w:rFonts w:ascii="Arial" w:hAnsi="Arial" w:cs="Arial" w:eastAsiaTheme="minorHAnsi"/>
          <w:sz w:val="20"/>
          <w:szCs w:val="20"/>
        </w:rPr>
      </w:pPr>
    </w:p>
    <w:p w14:paraId="7C60F23E">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888DCDA">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38CB206">
      <w:pPr>
        <w:autoSpaceDE w:val="0"/>
        <w:autoSpaceDN w:val="0"/>
        <w:adjustRightInd w:val="0"/>
        <w:jc w:val="center"/>
        <w:rPr>
          <w:rFonts w:ascii="Arial" w:hAnsi="Arial" w:cs="Arial"/>
          <w:b/>
          <w:bCs/>
          <w:sz w:val="32"/>
          <w:szCs w:val="32"/>
        </w:rPr>
      </w:pPr>
    </w:p>
    <w:p w14:paraId="3269FBF7">
      <w:pPr>
        <w:ind w:left="-284" w:firstLine="284"/>
        <w:jc w:val="both"/>
        <w:rPr>
          <w:rFonts w:ascii="Arial" w:hAnsi="Arial" w:cs="Arial" w:eastAsiaTheme="minorHAnsi"/>
          <w:sz w:val="20"/>
          <w:szCs w:val="20"/>
        </w:rPr>
      </w:pPr>
    </w:p>
    <w:p w14:paraId="4E35111A">
      <w:pPr>
        <w:ind w:left="-284" w:firstLine="284"/>
        <w:jc w:val="both"/>
        <w:rPr>
          <w:rFonts w:ascii="Arial" w:hAnsi="Arial" w:cs="Arial" w:eastAsiaTheme="minorHAnsi"/>
          <w:sz w:val="20"/>
          <w:szCs w:val="20"/>
        </w:rPr>
      </w:pPr>
    </w:p>
    <w:p w14:paraId="6E85FA19">
      <w:pPr>
        <w:ind w:left="-284" w:firstLine="284"/>
        <w:jc w:val="both"/>
        <w:rPr>
          <w:rFonts w:ascii="Arial" w:hAnsi="Arial" w:cs="Arial" w:eastAsiaTheme="minorHAnsi"/>
          <w:sz w:val="20"/>
          <w:szCs w:val="20"/>
        </w:rPr>
      </w:pPr>
    </w:p>
    <w:p w14:paraId="2A281911">
      <w:pPr>
        <w:ind w:left="-284" w:firstLine="284"/>
        <w:jc w:val="both"/>
        <w:rPr>
          <w:rFonts w:ascii="Arial" w:hAnsi="Arial" w:cs="Arial" w:eastAsiaTheme="minorHAnsi"/>
          <w:sz w:val="20"/>
          <w:szCs w:val="20"/>
        </w:rPr>
      </w:pPr>
    </w:p>
    <w:p w14:paraId="1BE9A590">
      <w:pPr>
        <w:ind w:left="-284" w:firstLine="284"/>
        <w:jc w:val="both"/>
        <w:rPr>
          <w:rFonts w:ascii="Arial" w:hAnsi="Arial" w:cs="Arial" w:eastAsiaTheme="minorHAnsi"/>
          <w:sz w:val="20"/>
          <w:szCs w:val="20"/>
        </w:rPr>
      </w:pPr>
    </w:p>
    <w:p w14:paraId="073B3976">
      <w:pPr>
        <w:ind w:left="-284" w:firstLine="284"/>
        <w:jc w:val="both"/>
        <w:rPr>
          <w:rFonts w:ascii="Arial" w:hAnsi="Arial" w:cs="Arial" w:eastAsiaTheme="minorHAnsi"/>
          <w:sz w:val="20"/>
          <w:szCs w:val="20"/>
        </w:rPr>
      </w:pPr>
    </w:p>
    <w:p w14:paraId="542BA5B6">
      <w:pPr>
        <w:ind w:left="-284" w:firstLine="284"/>
        <w:jc w:val="both"/>
        <w:rPr>
          <w:rFonts w:ascii="Arial" w:hAnsi="Arial" w:cs="Arial" w:eastAsiaTheme="minorHAnsi"/>
          <w:sz w:val="20"/>
          <w:szCs w:val="20"/>
        </w:rPr>
      </w:pPr>
    </w:p>
    <w:p w14:paraId="4F2785FF">
      <w:pPr>
        <w:ind w:left="-284" w:firstLine="284"/>
        <w:jc w:val="both"/>
        <w:rPr>
          <w:rFonts w:ascii="Arial" w:hAnsi="Arial" w:cs="Arial" w:eastAsiaTheme="minorHAnsi"/>
          <w:sz w:val="20"/>
          <w:szCs w:val="20"/>
        </w:rPr>
      </w:pPr>
    </w:p>
    <w:p w14:paraId="73335B9A">
      <w:pPr>
        <w:ind w:left="-284" w:firstLine="284"/>
        <w:jc w:val="both"/>
        <w:rPr>
          <w:rFonts w:ascii="Arial" w:hAnsi="Arial" w:cs="Arial" w:eastAsiaTheme="minorHAnsi"/>
          <w:sz w:val="20"/>
          <w:szCs w:val="20"/>
        </w:rPr>
      </w:pPr>
    </w:p>
    <w:p w14:paraId="02D5CDBA">
      <w:pPr>
        <w:ind w:left="-284" w:firstLine="284"/>
        <w:jc w:val="both"/>
        <w:rPr>
          <w:rFonts w:ascii="Arial" w:hAnsi="Arial" w:cs="Arial" w:eastAsiaTheme="minorHAnsi"/>
          <w:sz w:val="20"/>
          <w:szCs w:val="20"/>
        </w:rPr>
      </w:pPr>
    </w:p>
    <w:p w14:paraId="413933D7">
      <w:pPr>
        <w:ind w:left="-284" w:firstLine="284"/>
        <w:jc w:val="both"/>
        <w:rPr>
          <w:rFonts w:ascii="Arial" w:hAnsi="Arial" w:cs="Arial" w:eastAsiaTheme="minorHAnsi"/>
          <w:sz w:val="20"/>
          <w:szCs w:val="20"/>
        </w:rPr>
      </w:pPr>
    </w:p>
    <w:p w14:paraId="24241ED0">
      <w:pPr>
        <w:ind w:left="-284" w:firstLine="284"/>
        <w:jc w:val="both"/>
        <w:rPr>
          <w:rFonts w:ascii="Arial" w:hAnsi="Arial" w:cs="Arial" w:eastAsiaTheme="minorHAnsi"/>
          <w:sz w:val="20"/>
          <w:szCs w:val="20"/>
        </w:rPr>
      </w:pPr>
    </w:p>
    <w:p w14:paraId="7B7BD58D">
      <w:pPr>
        <w:ind w:left="-284" w:firstLine="284"/>
        <w:jc w:val="both"/>
        <w:rPr>
          <w:rFonts w:ascii="Arial" w:hAnsi="Arial" w:cs="Arial" w:eastAsiaTheme="minorHAnsi"/>
          <w:sz w:val="20"/>
          <w:szCs w:val="20"/>
        </w:rPr>
      </w:pPr>
    </w:p>
    <w:p w14:paraId="266E4DA6">
      <w:pPr>
        <w:ind w:left="-284" w:firstLine="284"/>
        <w:jc w:val="both"/>
        <w:rPr>
          <w:rFonts w:ascii="Arial" w:hAnsi="Arial" w:cs="Arial" w:eastAsiaTheme="minorHAnsi"/>
          <w:sz w:val="20"/>
          <w:szCs w:val="20"/>
        </w:rPr>
      </w:pPr>
    </w:p>
    <w:p w14:paraId="26C46889">
      <w:pPr>
        <w:ind w:left="-284" w:firstLine="284"/>
        <w:jc w:val="both"/>
        <w:rPr>
          <w:rFonts w:ascii="Arial" w:hAnsi="Arial" w:cs="Arial" w:eastAsiaTheme="minorHAnsi"/>
          <w:sz w:val="20"/>
          <w:szCs w:val="20"/>
        </w:rPr>
      </w:pPr>
    </w:p>
    <w:p w14:paraId="3F3E8436">
      <w:pPr>
        <w:ind w:left="-284" w:firstLine="284"/>
        <w:jc w:val="both"/>
        <w:rPr>
          <w:rFonts w:ascii="Arial" w:hAnsi="Arial" w:cs="Arial" w:eastAsiaTheme="minorHAnsi"/>
          <w:sz w:val="20"/>
          <w:szCs w:val="20"/>
        </w:rPr>
      </w:pPr>
    </w:p>
    <w:p w14:paraId="025EF885">
      <w:pPr>
        <w:ind w:left="-284" w:firstLine="284"/>
        <w:jc w:val="both"/>
        <w:rPr>
          <w:rFonts w:ascii="Arial" w:hAnsi="Arial" w:cs="Arial" w:eastAsiaTheme="minorHAnsi"/>
          <w:sz w:val="20"/>
          <w:szCs w:val="20"/>
        </w:rPr>
      </w:pPr>
    </w:p>
    <w:p w14:paraId="01BE9C88">
      <w:pPr>
        <w:ind w:left="-284" w:firstLine="284"/>
        <w:jc w:val="both"/>
        <w:rPr>
          <w:rFonts w:ascii="Arial" w:hAnsi="Arial" w:cs="Arial" w:eastAsiaTheme="minorHAnsi"/>
          <w:sz w:val="20"/>
          <w:szCs w:val="20"/>
        </w:rPr>
      </w:pPr>
    </w:p>
    <w:p w14:paraId="6B6D68DB">
      <w:pPr>
        <w:ind w:left="-284" w:firstLine="284"/>
        <w:jc w:val="both"/>
        <w:rPr>
          <w:rFonts w:ascii="Arial" w:hAnsi="Arial" w:cs="Arial" w:eastAsiaTheme="minorHAnsi"/>
          <w:sz w:val="20"/>
          <w:szCs w:val="20"/>
        </w:rPr>
      </w:pPr>
    </w:p>
    <w:p w14:paraId="68405585">
      <w:pPr>
        <w:ind w:left="-284" w:firstLine="284"/>
        <w:jc w:val="both"/>
        <w:rPr>
          <w:rFonts w:ascii="Arial" w:hAnsi="Arial" w:cs="Arial" w:eastAsiaTheme="minorHAnsi"/>
          <w:sz w:val="20"/>
          <w:szCs w:val="20"/>
        </w:rPr>
      </w:pPr>
    </w:p>
    <w:p w14:paraId="10FC4CD1">
      <w:pPr>
        <w:ind w:left="-284" w:firstLine="284"/>
        <w:jc w:val="both"/>
        <w:rPr>
          <w:rFonts w:ascii="Arial" w:hAnsi="Arial" w:cs="Arial" w:eastAsiaTheme="minorHAnsi"/>
          <w:sz w:val="20"/>
          <w:szCs w:val="20"/>
        </w:rPr>
      </w:pPr>
    </w:p>
    <w:p w14:paraId="34D6D32A">
      <w:pPr>
        <w:jc w:val="center"/>
        <w:rPr>
          <w:rFonts w:ascii="Arial" w:hAnsi="Arial" w:cs="Arial"/>
          <w:b/>
          <w:bCs/>
          <w:sz w:val="30"/>
          <w:szCs w:val="30"/>
        </w:rPr>
      </w:pPr>
      <w:r>
        <w:rPr>
          <w:rFonts w:ascii="Arial" w:hAnsi="Arial" w:cs="Arial"/>
          <w:b/>
          <w:bCs/>
          <w:sz w:val="30"/>
          <w:szCs w:val="30"/>
        </w:rPr>
        <w:t xml:space="preserve">ANEXO </w:t>
      </w:r>
      <w:r>
        <w:rPr>
          <w:rFonts w:hint="default" w:ascii="Arial" w:hAnsi="Arial" w:cs="Arial"/>
          <w:b/>
          <w:bCs/>
          <w:sz w:val="30"/>
          <w:szCs w:val="30"/>
          <w:lang w:val="pt-BR"/>
        </w:rPr>
        <w:t>XI</w:t>
      </w:r>
      <w:r>
        <w:rPr>
          <w:rFonts w:ascii="Arial" w:hAnsi="Arial" w:cs="Arial"/>
          <w:b/>
          <w:bCs/>
          <w:sz w:val="30"/>
          <w:szCs w:val="30"/>
        </w:rPr>
        <w:t>V</w:t>
      </w:r>
    </w:p>
    <w:p w14:paraId="793D6F39">
      <w:pPr>
        <w:jc w:val="both"/>
        <w:rPr>
          <w:rFonts w:hint="default" w:ascii="Arial" w:hAnsi="Arial" w:cs="Arial"/>
          <w:b/>
          <w:bCs/>
          <w:sz w:val="20"/>
          <w:szCs w:val="20"/>
        </w:rPr>
      </w:pPr>
    </w:p>
    <w:p w14:paraId="224A1F2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043/2026</w:t>
      </w:r>
    </w:p>
    <w:p w14:paraId="21B2BEEE">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018/2026</w:t>
      </w:r>
    </w:p>
    <w:p w14:paraId="6BDAA3E9">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018/2026</w:t>
      </w:r>
    </w:p>
    <w:p w14:paraId="00C79F1F">
      <w:pPr>
        <w:ind w:left="-284" w:firstLine="284"/>
        <w:jc w:val="both"/>
        <w:rPr>
          <w:rFonts w:hint="default" w:ascii="Arial" w:hAnsi="Arial" w:cs="Arial" w:eastAsiaTheme="minorHAnsi"/>
          <w:sz w:val="20"/>
          <w:szCs w:val="20"/>
        </w:rPr>
      </w:pPr>
    </w:p>
    <w:p w14:paraId="09947D00">
      <w:pPr>
        <w:autoSpaceDE w:val="0"/>
        <w:autoSpaceDN w:val="0"/>
        <w:adjustRightInd w:val="0"/>
        <w:jc w:val="center"/>
        <w:rPr>
          <w:rFonts w:ascii="Arial" w:hAnsi="Arial" w:cs="Arial"/>
          <w:b/>
          <w:bCs/>
          <w:sz w:val="20"/>
          <w:szCs w:val="20"/>
        </w:rPr>
      </w:pPr>
    </w:p>
    <w:p w14:paraId="7A9F9165">
      <w:pPr>
        <w:autoSpaceDE w:val="0"/>
        <w:autoSpaceDN w:val="0"/>
        <w:adjustRightInd w:val="0"/>
        <w:jc w:val="center"/>
        <w:rPr>
          <w:rFonts w:hint="default" w:ascii="Arial" w:hAnsi="Arial" w:cs="Arial"/>
          <w:b/>
          <w:sz w:val="20"/>
          <w:szCs w:val="20"/>
          <w:shd w:val="clear" w:color="auto" w:fill="FFFFFF"/>
          <w:lang w:val="pt-BR"/>
        </w:rPr>
      </w:pPr>
      <w:r>
        <w:rPr>
          <w:rFonts w:ascii="Arial" w:hAnsi="Arial" w:cs="Arial" w:eastAsiaTheme="minorHAnsi"/>
          <w:b/>
          <w:bCs/>
          <w:sz w:val="20"/>
          <w:szCs w:val="20"/>
        </w:rPr>
        <w:t xml:space="preserve">MODELO DE DECLARAÇÃO DE </w:t>
      </w:r>
      <w:r>
        <w:rPr>
          <w:rFonts w:hint="default" w:ascii="Arial" w:hAnsi="Arial" w:cs="Arial"/>
          <w:b/>
          <w:sz w:val="20"/>
          <w:szCs w:val="20"/>
          <w:shd w:val="clear" w:color="auto" w:fill="FFFFFF"/>
          <w:lang w:val="pt-BR"/>
        </w:rPr>
        <w:t>ISENÇÃO DE AFE/AE</w:t>
      </w:r>
    </w:p>
    <w:p w14:paraId="4E480CE7">
      <w:pPr>
        <w:autoSpaceDE w:val="0"/>
        <w:autoSpaceDN w:val="0"/>
        <w:adjustRightInd w:val="0"/>
        <w:jc w:val="both"/>
        <w:rPr>
          <w:rFonts w:ascii="Arial" w:hAnsi="Arial" w:cs="Arial"/>
          <w:color w:val="000000"/>
          <w:sz w:val="20"/>
          <w:szCs w:val="20"/>
        </w:rPr>
      </w:pPr>
    </w:p>
    <w:p w14:paraId="45632A10">
      <w:pPr>
        <w:autoSpaceDE w:val="0"/>
        <w:autoSpaceDN w:val="0"/>
        <w:adjustRightInd w:val="0"/>
        <w:jc w:val="both"/>
        <w:rPr>
          <w:rFonts w:ascii="Arial" w:hAnsi="Arial" w:cs="Arial"/>
          <w:color w:val="000000"/>
          <w:sz w:val="20"/>
          <w:szCs w:val="20"/>
        </w:rPr>
      </w:pPr>
    </w:p>
    <w:p w14:paraId="121D8AD1">
      <w:pPr>
        <w:autoSpaceDE w:val="0"/>
        <w:autoSpaceDN w:val="0"/>
        <w:adjustRightInd w:val="0"/>
        <w:jc w:val="both"/>
        <w:rPr>
          <w:rFonts w:ascii="Arial" w:hAnsi="Arial" w:cs="Arial"/>
          <w:color w:val="000000"/>
          <w:sz w:val="20"/>
          <w:szCs w:val="20"/>
        </w:rPr>
      </w:pPr>
    </w:p>
    <w:p w14:paraId="0EE4CF37">
      <w:pPr>
        <w:spacing w:after="0"/>
        <w:jc w:val="both"/>
        <w:rPr>
          <w:rFonts w:ascii="Arial" w:hAnsi="Arial" w:cs="Arial"/>
          <w:sz w:val="20"/>
          <w:szCs w:val="20"/>
        </w:rPr>
      </w:pPr>
      <w:r>
        <w:rPr>
          <w:rFonts w:ascii="Arial" w:hAnsi="Arial" w:cs="Arial"/>
          <w:sz w:val="20"/>
          <w:szCs w:val="20"/>
        </w:rPr>
        <w:t>(Nome da Empresa), inscrita no CNPJ sob o nº (CNPJ da empresa), com sede em (endereço completo), por meio de seu representante legal (nome e cargo do responsável), DECLARA, para os devidos fins, que:</w:t>
      </w:r>
    </w:p>
    <w:p w14:paraId="6C950BC4">
      <w:pPr>
        <w:spacing w:after="0"/>
        <w:jc w:val="both"/>
        <w:rPr>
          <w:rFonts w:ascii="Arial" w:hAnsi="Arial" w:cs="Arial"/>
          <w:sz w:val="20"/>
          <w:szCs w:val="20"/>
        </w:rPr>
      </w:pPr>
    </w:p>
    <w:p w14:paraId="49C88ED0">
      <w:pPr>
        <w:spacing w:after="0"/>
        <w:jc w:val="both"/>
        <w:rPr>
          <w:rFonts w:ascii="Arial" w:hAnsi="Arial" w:cs="Arial"/>
          <w:sz w:val="20"/>
          <w:szCs w:val="20"/>
        </w:rPr>
      </w:pPr>
      <w:r>
        <w:rPr>
          <w:rFonts w:ascii="Arial" w:hAnsi="Arial" w:cs="Arial"/>
          <w:sz w:val="20"/>
          <w:szCs w:val="20"/>
        </w:rPr>
        <w:t>- A empresa não está sujeita à obrigatoriedade de obtenção de Autorização de Funcionamento de Empresa (AFE) ou Autorização Especial (AE), emitidas pela Agência Nacional de Vigilância Sanitária (ANVISA), conforme disposto na RDC nº 16/2014 e demais normativas aplicáveis.</w:t>
      </w:r>
    </w:p>
    <w:p w14:paraId="40FCD662">
      <w:pPr>
        <w:spacing w:after="0"/>
        <w:jc w:val="both"/>
        <w:rPr>
          <w:rFonts w:ascii="Arial" w:hAnsi="Arial" w:cs="Arial"/>
          <w:sz w:val="20"/>
          <w:szCs w:val="20"/>
        </w:rPr>
      </w:pPr>
    </w:p>
    <w:p w14:paraId="08AE959E">
      <w:pPr>
        <w:spacing w:after="0"/>
        <w:jc w:val="both"/>
        <w:rPr>
          <w:rFonts w:ascii="Arial" w:hAnsi="Arial" w:cs="Arial"/>
          <w:sz w:val="20"/>
          <w:szCs w:val="20"/>
        </w:rPr>
      </w:pPr>
      <w:r>
        <w:rPr>
          <w:rFonts w:ascii="Arial" w:hAnsi="Arial" w:cs="Arial"/>
          <w:sz w:val="20"/>
          <w:szCs w:val="20"/>
        </w:rPr>
        <w:t>- A atividade principal da empresa, limita-se a (descrever as atividades, produtos ou serviços comercializados, como por exemplo): Comércio de suplementos alimentares, produtos para saúde isentos de registro, alimentos não perecíveis, ou outros itens não sujeitos a controle sanitário especial; Prestação de serviços que não envolvem manipulação, fabricação ou distribuição de medicamentos, produtos controlados ou sujeitos à vigilância sanitária restrita.</w:t>
      </w:r>
    </w:p>
    <w:p w14:paraId="1FF36915">
      <w:pPr>
        <w:spacing w:after="0"/>
        <w:jc w:val="both"/>
        <w:rPr>
          <w:rFonts w:ascii="Arial" w:hAnsi="Arial" w:cs="Arial"/>
          <w:sz w:val="20"/>
          <w:szCs w:val="20"/>
        </w:rPr>
      </w:pPr>
    </w:p>
    <w:p w14:paraId="3736CF0A">
      <w:pPr>
        <w:spacing w:after="0"/>
        <w:jc w:val="both"/>
        <w:rPr>
          <w:rFonts w:ascii="Arial" w:hAnsi="Arial" w:cs="Arial"/>
          <w:sz w:val="20"/>
          <w:szCs w:val="20"/>
        </w:rPr>
      </w:pPr>
      <w:r>
        <w:rPr>
          <w:rFonts w:ascii="Arial" w:hAnsi="Arial" w:cs="Arial"/>
          <w:sz w:val="20"/>
          <w:szCs w:val="20"/>
        </w:rPr>
        <w:t>- A empresa não realiza atividades relacionadas a medicamentos controlados, produtos para saúde de risco elevado.</w:t>
      </w:r>
    </w:p>
    <w:p w14:paraId="31B9FCB8">
      <w:pPr>
        <w:spacing w:after="0"/>
        <w:jc w:val="both"/>
        <w:rPr>
          <w:rFonts w:ascii="Arial" w:hAnsi="Arial" w:cs="Arial"/>
          <w:sz w:val="20"/>
          <w:szCs w:val="20"/>
        </w:rPr>
      </w:pPr>
    </w:p>
    <w:p w14:paraId="24A8E209">
      <w:pPr>
        <w:spacing w:after="0"/>
        <w:jc w:val="both"/>
        <w:rPr>
          <w:rFonts w:ascii="Arial" w:hAnsi="Arial" w:cs="Arial"/>
          <w:sz w:val="20"/>
          <w:szCs w:val="20"/>
        </w:rPr>
      </w:pPr>
      <w:r>
        <w:rPr>
          <w:rFonts w:ascii="Arial" w:hAnsi="Arial" w:cs="Arial"/>
          <w:sz w:val="20"/>
          <w:szCs w:val="20"/>
        </w:rPr>
        <w:t>Reafirmamos, sob as penas da lei, que as informações prestadas são verdadeiras e assumimos total responsabilidade por seu conteúdo.</w:t>
      </w:r>
    </w:p>
    <w:p w14:paraId="79CAE245">
      <w:pPr>
        <w:spacing w:after="0"/>
        <w:jc w:val="both"/>
        <w:rPr>
          <w:rFonts w:ascii="Arial" w:hAnsi="Arial" w:cs="Arial"/>
          <w:sz w:val="20"/>
          <w:szCs w:val="20"/>
        </w:rPr>
      </w:pPr>
    </w:p>
    <w:p w14:paraId="6CACE689">
      <w:pPr>
        <w:spacing w:after="0"/>
        <w:jc w:val="center"/>
        <w:rPr>
          <w:rFonts w:ascii="Arial" w:hAnsi="Arial" w:cs="Arial"/>
          <w:sz w:val="20"/>
          <w:szCs w:val="20"/>
        </w:rPr>
      </w:pPr>
    </w:p>
    <w:p w14:paraId="6A7B64B4">
      <w:pPr>
        <w:spacing w:after="0"/>
        <w:jc w:val="center"/>
        <w:rPr>
          <w:rFonts w:ascii="Arial" w:hAnsi="Arial" w:cs="Arial"/>
          <w:sz w:val="20"/>
          <w:szCs w:val="20"/>
        </w:rPr>
      </w:pPr>
      <w:r>
        <w:rPr>
          <w:rFonts w:ascii="Arial" w:hAnsi="Arial" w:cs="Arial"/>
          <w:sz w:val="20"/>
          <w:szCs w:val="20"/>
        </w:rPr>
        <w:t>_____________________</w:t>
      </w:r>
      <w:r>
        <w:rPr>
          <w:rFonts w:hint="default" w:ascii="Arial" w:hAnsi="Arial" w:cs="Arial"/>
          <w:sz w:val="20"/>
          <w:szCs w:val="20"/>
          <w:lang w:val="pt-BR"/>
        </w:rPr>
        <w:t>________________</w:t>
      </w:r>
      <w:r>
        <w:rPr>
          <w:rFonts w:ascii="Arial" w:hAnsi="Arial" w:cs="Arial"/>
          <w:sz w:val="20"/>
          <w:szCs w:val="20"/>
        </w:rPr>
        <w:t>____</w:t>
      </w:r>
    </w:p>
    <w:p w14:paraId="7474F914">
      <w:pPr>
        <w:spacing w:after="0"/>
        <w:jc w:val="center"/>
        <w:rPr>
          <w:rFonts w:hint="default" w:ascii="Arial" w:hAnsi="Arial" w:cs="Arial"/>
          <w:sz w:val="20"/>
          <w:szCs w:val="20"/>
          <w:lang w:val="pt-BR"/>
        </w:rPr>
      </w:pPr>
      <w:r>
        <w:rPr>
          <w:rFonts w:ascii="Arial" w:hAnsi="Arial" w:cs="Arial"/>
          <w:sz w:val="20"/>
          <w:szCs w:val="20"/>
        </w:rPr>
        <w:t xml:space="preserve">Assinatura </w:t>
      </w:r>
      <w:r>
        <w:rPr>
          <w:rFonts w:hint="default" w:ascii="Arial" w:hAnsi="Arial" w:cs="Arial"/>
          <w:sz w:val="20"/>
          <w:szCs w:val="20"/>
          <w:lang w:val="pt-BR"/>
        </w:rPr>
        <w:t>do representante da empresa</w:t>
      </w:r>
    </w:p>
    <w:p w14:paraId="3B240A59">
      <w:pPr>
        <w:spacing w:after="0"/>
        <w:jc w:val="center"/>
        <w:rPr>
          <w:rFonts w:ascii="Arial" w:hAnsi="Arial" w:cs="Arial"/>
          <w:sz w:val="20"/>
          <w:szCs w:val="20"/>
        </w:rPr>
      </w:pPr>
      <w:r>
        <w:rPr>
          <w:rFonts w:hint="default" w:ascii="Arial" w:hAnsi="Arial" w:cs="Arial"/>
          <w:sz w:val="20"/>
          <w:szCs w:val="20"/>
          <w:lang w:val="pt-BR"/>
        </w:rPr>
        <w:t>Nome da empres</w:t>
      </w:r>
      <w:r>
        <w:rPr>
          <w:rFonts w:ascii="Arial" w:hAnsi="Arial" w:cs="Arial"/>
          <w:sz w:val="20"/>
          <w:szCs w:val="20"/>
        </w:rPr>
        <w:t>a</w:t>
      </w:r>
    </w:p>
    <w:p w14:paraId="6287F3BC">
      <w:pPr>
        <w:ind w:left="-284" w:firstLine="284"/>
        <w:jc w:val="both"/>
        <w:rPr>
          <w:rFonts w:ascii="Arial" w:hAnsi="Arial" w:cs="Arial" w:eastAsiaTheme="minorHAnsi"/>
          <w:sz w:val="20"/>
          <w:szCs w:val="20"/>
        </w:rPr>
      </w:pPr>
    </w:p>
    <w:p w14:paraId="55E555A7">
      <w:pPr>
        <w:ind w:left="-284" w:firstLine="284"/>
        <w:jc w:val="both"/>
        <w:rPr>
          <w:rFonts w:ascii="Arial" w:hAnsi="Arial" w:cs="Arial" w:eastAsiaTheme="minorHAnsi"/>
          <w:sz w:val="20"/>
          <w:szCs w:val="20"/>
        </w:rPr>
      </w:pPr>
    </w:p>
    <w:p w14:paraId="45C696D1">
      <w:pPr>
        <w:ind w:left="-284" w:firstLine="284"/>
        <w:jc w:val="both"/>
        <w:rPr>
          <w:rFonts w:ascii="Arial" w:hAnsi="Arial" w:cs="Arial" w:eastAsiaTheme="minorHAnsi"/>
          <w:sz w:val="20"/>
          <w:szCs w:val="20"/>
        </w:rPr>
      </w:pPr>
    </w:p>
    <w:p w14:paraId="18F618B2">
      <w:pPr>
        <w:ind w:left="-284" w:firstLine="284"/>
        <w:jc w:val="both"/>
        <w:rPr>
          <w:rFonts w:ascii="Arial" w:hAnsi="Arial" w:cs="Arial" w:eastAsiaTheme="minorHAnsi"/>
          <w:sz w:val="20"/>
          <w:szCs w:val="20"/>
        </w:rPr>
      </w:pPr>
    </w:p>
    <w:p w14:paraId="0C6D022C">
      <w:pPr>
        <w:ind w:left="-284" w:firstLine="284"/>
        <w:jc w:val="both"/>
        <w:rPr>
          <w:rFonts w:ascii="Arial" w:hAnsi="Arial" w:cs="Arial" w:eastAsiaTheme="minorHAnsi"/>
          <w:sz w:val="20"/>
          <w:szCs w:val="20"/>
        </w:rPr>
      </w:pPr>
    </w:p>
    <w:p w14:paraId="005DB523">
      <w:pPr>
        <w:ind w:left="-284" w:firstLine="284"/>
        <w:jc w:val="both"/>
        <w:rPr>
          <w:rFonts w:ascii="Arial" w:hAnsi="Arial" w:cs="Arial" w:eastAsiaTheme="minorHAnsi"/>
          <w:sz w:val="20"/>
          <w:szCs w:val="20"/>
        </w:rPr>
      </w:pPr>
    </w:p>
    <w:p w14:paraId="40EC4E89">
      <w:pPr>
        <w:ind w:left="-284" w:firstLine="284"/>
        <w:jc w:val="both"/>
        <w:rPr>
          <w:rFonts w:ascii="Arial" w:hAnsi="Arial" w:cs="Arial" w:eastAsiaTheme="minorHAnsi"/>
          <w:sz w:val="20"/>
          <w:szCs w:val="20"/>
        </w:rPr>
      </w:pPr>
    </w:p>
    <w:p w14:paraId="193E4D98">
      <w:pPr>
        <w:ind w:left="-284" w:firstLine="284"/>
        <w:jc w:val="both"/>
        <w:rPr>
          <w:rFonts w:ascii="Arial" w:hAnsi="Arial" w:cs="Arial" w:eastAsiaTheme="minorHAnsi"/>
          <w:sz w:val="20"/>
          <w:szCs w:val="20"/>
        </w:rPr>
      </w:pPr>
    </w:p>
    <w:p w14:paraId="437AD7FA">
      <w:pPr>
        <w:ind w:left="-284" w:firstLine="284"/>
        <w:jc w:val="both"/>
        <w:rPr>
          <w:rFonts w:ascii="Arial" w:hAnsi="Arial" w:cs="Arial" w:eastAsiaTheme="minorHAnsi"/>
          <w:sz w:val="20"/>
          <w:szCs w:val="20"/>
        </w:rPr>
      </w:pPr>
    </w:p>
    <w:sectPr>
      <w:headerReference r:id="rId3" w:type="default"/>
      <w:footerReference r:id="rId4" w:type="default"/>
      <w:pgSz w:w="11907" w:h="16840"/>
      <w:pgMar w:top="984" w:right="993" w:bottom="1276" w:left="992" w:header="0" w:footer="0"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ArialMT;Times New Roman">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Arial-BoldMT">
    <w:altName w:val="Arial"/>
    <w:panose1 w:val="00000000000000000000"/>
    <w:charset w:val="00"/>
    <w:family w:val="auto"/>
    <w:pitch w:val="default"/>
    <w:sig w:usb0="00000000" w:usb1="00000000" w:usb2="00000000" w:usb3="00000000" w:csb0="00000001"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rFonts w:hint="default" w:ascii="Arial" w:hAnsi="Arial" w:cs="Arial"/>
        <w:sz w:val="18"/>
        <w:szCs w:val="18"/>
      </w:rPr>
    </w:pPr>
    <w:r>
      <w:rPr>
        <w:rFonts w:hint="default" w:ascii="Arial" w:hAnsi="Arial" w:cs="Arial"/>
        <w:sz w:val="18"/>
        <w:szCs w:val="18"/>
      </w:rPr>
      <w:t>Praça Santa Rita, 462–Centro, Cataguases-MG, CEP:36771-020</w:t>
    </w:r>
  </w:p>
  <w:p w14:paraId="1B04B01A">
    <w:pPr>
      <w:pStyle w:val="203"/>
      <w:jc w:val="center"/>
      <w:rPr>
        <w:rFonts w:hint="default" w:ascii="Arial" w:hAnsi="Arial" w:cs="Arial"/>
        <w:sz w:val="18"/>
        <w:szCs w:val="18"/>
      </w:rPr>
    </w:pPr>
    <w:r>
      <w:rPr>
        <w:rFonts w:hint="default" w:ascii="Arial" w:hAnsi="Arial" w:cs="Arial"/>
        <w:sz w:val="18"/>
        <w:szCs w:val="18"/>
      </w:rPr>
      <w:t xml:space="preserve">Telefone: 32 3429-2500, email: </w:t>
    </w:r>
    <w:r>
      <w:rPr>
        <w:rFonts w:hint="default" w:ascii="Arial" w:hAnsi="Arial" w:cs="Arial"/>
        <w:sz w:val="18"/>
        <w:szCs w:val="18"/>
      </w:rPr>
      <w:fldChar w:fldCharType="begin"/>
    </w:r>
    <w:r>
      <w:rPr>
        <w:rFonts w:hint="default" w:ascii="Arial" w:hAnsi="Arial" w:cs="Arial"/>
        <w:sz w:val="18"/>
        <w:szCs w:val="18"/>
      </w:rPr>
      <w:instrText xml:space="preserve"> HYPERLINK "mailto:pregaocataguases@gmail.com" </w:instrText>
    </w:r>
    <w:r>
      <w:rPr>
        <w:rFonts w:hint="default" w:ascii="Arial" w:hAnsi="Arial" w:cs="Arial"/>
        <w:sz w:val="18"/>
        <w:szCs w:val="18"/>
      </w:rPr>
      <w:fldChar w:fldCharType="separate"/>
    </w:r>
    <w:r>
      <w:rPr>
        <w:rStyle w:val="13"/>
        <w:rFonts w:hint="default" w:ascii="Arial" w:hAnsi="Arial" w:cs="Arial"/>
        <w:sz w:val="18"/>
        <w:szCs w:val="18"/>
      </w:rPr>
      <w:t>pregaocataguases@gmail.com</w:t>
    </w:r>
    <w:r>
      <w:rPr>
        <w:rFonts w:hint="default" w:ascii="Arial" w:hAnsi="Arial" w:cs="Arial"/>
        <w:sz w:val="18"/>
        <w:szCs w:val="18"/>
      </w:rPr>
      <w:fldChar w:fldCharType="end"/>
    </w:r>
  </w:p>
  <w:p w14:paraId="69FBC8A7">
    <w:pPr>
      <w:pStyle w:val="203"/>
      <w:jc w:val="center"/>
      <w:rPr>
        <w:rFonts w:hint="default" w:ascii="Arial" w:hAnsi="Arial" w:cs="Arial"/>
        <w:sz w:val="18"/>
        <w:szCs w:val="18"/>
        <w:lang w:val="pt-BR"/>
      </w:rPr>
    </w:pPr>
    <w:r>
      <w:rPr>
        <w:rFonts w:hint="default" w:ascii="Arial" w:hAnsi="Arial" w:cs="Arial"/>
        <w:sz w:val="18"/>
        <w:szCs w:val="18"/>
        <w:lang w:val="pt-BR"/>
      </w:rPr>
      <w:t>Pregão eletrônico n° 018/2026</w:t>
    </w:r>
  </w:p>
  <w:p w14:paraId="021662C9">
    <w:pPr>
      <w:pStyle w:val="203"/>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201"/>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
    <w:nsid w:val="09A22EE4"/>
    <w:multiLevelType w:val="multilevel"/>
    <w:tmpl w:val="09A22EE4"/>
    <w:lvl w:ilvl="0" w:tentative="0">
      <w:start w:val="12"/>
      <w:numFmt w:val="decimal"/>
      <w:lvlText w:val="%1."/>
      <w:lvlJc w:val="left"/>
      <w:pPr>
        <w:ind w:left="408" w:hanging="360"/>
      </w:pPr>
      <w:rPr>
        <w:rFonts w:hint="default"/>
      </w:rPr>
    </w:lvl>
    <w:lvl w:ilvl="1" w:tentative="0">
      <w:start w:val="1"/>
      <w:numFmt w:val="decimal"/>
      <w:isLgl/>
      <w:lvlText w:val="%1.%2"/>
      <w:lvlJc w:val="left"/>
      <w:pPr>
        <w:ind w:left="432" w:hanging="384"/>
      </w:pPr>
      <w:rPr>
        <w:rFonts w:hint="default" w:ascii="Arial" w:hAnsi="Arial" w:cs="Arial"/>
        <w:b w:val="0"/>
        <w:i w:val="0"/>
        <w:color w:val="auto"/>
        <w:sz w:val="18"/>
        <w:szCs w:val="18"/>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3">
    <w:nsid w:val="0BB304C6"/>
    <w:multiLevelType w:val="multilevel"/>
    <w:tmpl w:val="0BB304C6"/>
    <w:lvl w:ilvl="0" w:tentative="0">
      <w:start w:val="1"/>
      <w:numFmt w:val="bullet"/>
      <w:lvlText w:val=""/>
      <w:lvlJc w:val="left"/>
      <w:pPr>
        <w:ind w:left="210" w:hanging="360"/>
      </w:pPr>
      <w:rPr>
        <w:rFonts w:hint="default" w:ascii="Wingdings" w:hAnsi="Wingdings"/>
      </w:rPr>
    </w:lvl>
    <w:lvl w:ilvl="1" w:tentative="0">
      <w:start w:val="1"/>
      <w:numFmt w:val="bullet"/>
      <w:lvlText w:val="o"/>
      <w:lvlJc w:val="left"/>
      <w:pPr>
        <w:ind w:left="930" w:hanging="360"/>
      </w:pPr>
      <w:rPr>
        <w:rFonts w:hint="default" w:ascii="Courier New" w:hAnsi="Courier New" w:cs="Courier New"/>
      </w:rPr>
    </w:lvl>
    <w:lvl w:ilvl="2" w:tentative="0">
      <w:start w:val="1"/>
      <w:numFmt w:val="bullet"/>
      <w:lvlText w:val=""/>
      <w:lvlJc w:val="left"/>
      <w:pPr>
        <w:ind w:left="1650" w:hanging="360"/>
      </w:pPr>
      <w:rPr>
        <w:rFonts w:hint="default" w:ascii="Wingdings" w:hAnsi="Wingdings"/>
      </w:rPr>
    </w:lvl>
    <w:lvl w:ilvl="3" w:tentative="0">
      <w:start w:val="1"/>
      <w:numFmt w:val="bullet"/>
      <w:lvlText w:val=""/>
      <w:lvlJc w:val="left"/>
      <w:pPr>
        <w:ind w:left="2370" w:hanging="360"/>
      </w:pPr>
      <w:rPr>
        <w:rFonts w:hint="default" w:ascii="Symbol" w:hAnsi="Symbol"/>
      </w:rPr>
    </w:lvl>
    <w:lvl w:ilvl="4" w:tentative="0">
      <w:start w:val="1"/>
      <w:numFmt w:val="bullet"/>
      <w:lvlText w:val="o"/>
      <w:lvlJc w:val="left"/>
      <w:pPr>
        <w:ind w:left="3090" w:hanging="360"/>
      </w:pPr>
      <w:rPr>
        <w:rFonts w:hint="default" w:ascii="Courier New" w:hAnsi="Courier New" w:cs="Courier New"/>
      </w:rPr>
    </w:lvl>
    <w:lvl w:ilvl="5" w:tentative="0">
      <w:start w:val="1"/>
      <w:numFmt w:val="bullet"/>
      <w:lvlText w:val=""/>
      <w:lvlJc w:val="left"/>
      <w:pPr>
        <w:ind w:left="3810" w:hanging="360"/>
      </w:pPr>
      <w:rPr>
        <w:rFonts w:hint="default" w:ascii="Wingdings" w:hAnsi="Wingdings"/>
      </w:rPr>
    </w:lvl>
    <w:lvl w:ilvl="6" w:tentative="0">
      <w:start w:val="1"/>
      <w:numFmt w:val="bullet"/>
      <w:lvlText w:val=""/>
      <w:lvlJc w:val="left"/>
      <w:pPr>
        <w:ind w:left="4530" w:hanging="360"/>
      </w:pPr>
      <w:rPr>
        <w:rFonts w:hint="default" w:ascii="Symbol" w:hAnsi="Symbol"/>
      </w:rPr>
    </w:lvl>
    <w:lvl w:ilvl="7" w:tentative="0">
      <w:start w:val="1"/>
      <w:numFmt w:val="bullet"/>
      <w:lvlText w:val="o"/>
      <w:lvlJc w:val="left"/>
      <w:pPr>
        <w:ind w:left="5250" w:hanging="360"/>
      </w:pPr>
      <w:rPr>
        <w:rFonts w:hint="default" w:ascii="Courier New" w:hAnsi="Courier New" w:cs="Courier New"/>
      </w:rPr>
    </w:lvl>
    <w:lvl w:ilvl="8" w:tentative="0">
      <w:start w:val="1"/>
      <w:numFmt w:val="bullet"/>
      <w:lvlText w:val=""/>
      <w:lvlJc w:val="left"/>
      <w:pPr>
        <w:ind w:left="5970" w:hanging="360"/>
      </w:pPr>
      <w:rPr>
        <w:rFonts w:hint="default" w:ascii="Wingdings" w:hAnsi="Wingdings"/>
      </w:rPr>
    </w:lvl>
  </w:abstractNum>
  <w:abstractNum w:abstractNumId="4">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val="0"/>
        <w:bCs/>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5">
    <w:nsid w:val="174B3E73"/>
    <w:multiLevelType w:val="multilevel"/>
    <w:tmpl w:val="174B3E73"/>
    <w:lvl w:ilvl="0" w:tentative="0">
      <w:start w:val="1"/>
      <w:numFmt w:val="bullet"/>
      <w:lvlText w:val=""/>
      <w:lvlJc w:val="left"/>
      <w:pPr>
        <w:ind w:left="210" w:hanging="360"/>
      </w:pPr>
      <w:rPr>
        <w:rFonts w:hint="default" w:ascii="Wingdings" w:hAnsi="Wingdings"/>
      </w:rPr>
    </w:lvl>
    <w:lvl w:ilvl="1" w:tentative="0">
      <w:start w:val="1"/>
      <w:numFmt w:val="bullet"/>
      <w:lvlText w:val="o"/>
      <w:lvlJc w:val="left"/>
      <w:pPr>
        <w:ind w:left="930" w:hanging="360"/>
      </w:pPr>
      <w:rPr>
        <w:rFonts w:hint="default" w:ascii="Courier New" w:hAnsi="Courier New" w:cs="Courier New"/>
      </w:rPr>
    </w:lvl>
    <w:lvl w:ilvl="2" w:tentative="0">
      <w:start w:val="1"/>
      <w:numFmt w:val="bullet"/>
      <w:lvlText w:val=""/>
      <w:lvlJc w:val="left"/>
      <w:pPr>
        <w:ind w:left="1650" w:hanging="360"/>
      </w:pPr>
      <w:rPr>
        <w:rFonts w:hint="default" w:ascii="Wingdings" w:hAnsi="Wingdings"/>
      </w:rPr>
    </w:lvl>
    <w:lvl w:ilvl="3" w:tentative="0">
      <w:start w:val="1"/>
      <w:numFmt w:val="bullet"/>
      <w:lvlText w:val=""/>
      <w:lvlJc w:val="left"/>
      <w:pPr>
        <w:ind w:left="2370" w:hanging="360"/>
      </w:pPr>
      <w:rPr>
        <w:rFonts w:hint="default" w:ascii="Symbol" w:hAnsi="Symbol"/>
      </w:rPr>
    </w:lvl>
    <w:lvl w:ilvl="4" w:tentative="0">
      <w:start w:val="1"/>
      <w:numFmt w:val="bullet"/>
      <w:lvlText w:val="o"/>
      <w:lvlJc w:val="left"/>
      <w:pPr>
        <w:ind w:left="3090" w:hanging="360"/>
      </w:pPr>
      <w:rPr>
        <w:rFonts w:hint="default" w:ascii="Courier New" w:hAnsi="Courier New" w:cs="Courier New"/>
      </w:rPr>
    </w:lvl>
    <w:lvl w:ilvl="5" w:tentative="0">
      <w:start w:val="1"/>
      <w:numFmt w:val="bullet"/>
      <w:lvlText w:val=""/>
      <w:lvlJc w:val="left"/>
      <w:pPr>
        <w:ind w:left="3810" w:hanging="360"/>
      </w:pPr>
      <w:rPr>
        <w:rFonts w:hint="default" w:ascii="Wingdings" w:hAnsi="Wingdings"/>
      </w:rPr>
    </w:lvl>
    <w:lvl w:ilvl="6" w:tentative="0">
      <w:start w:val="1"/>
      <w:numFmt w:val="bullet"/>
      <w:lvlText w:val=""/>
      <w:lvlJc w:val="left"/>
      <w:pPr>
        <w:ind w:left="4530" w:hanging="360"/>
      </w:pPr>
      <w:rPr>
        <w:rFonts w:hint="default" w:ascii="Symbol" w:hAnsi="Symbol"/>
      </w:rPr>
    </w:lvl>
    <w:lvl w:ilvl="7" w:tentative="0">
      <w:start w:val="1"/>
      <w:numFmt w:val="bullet"/>
      <w:lvlText w:val="o"/>
      <w:lvlJc w:val="left"/>
      <w:pPr>
        <w:ind w:left="5250" w:hanging="360"/>
      </w:pPr>
      <w:rPr>
        <w:rFonts w:hint="default" w:ascii="Courier New" w:hAnsi="Courier New" w:cs="Courier New"/>
      </w:rPr>
    </w:lvl>
    <w:lvl w:ilvl="8" w:tentative="0">
      <w:start w:val="1"/>
      <w:numFmt w:val="bullet"/>
      <w:lvlText w:val=""/>
      <w:lvlJc w:val="left"/>
      <w:pPr>
        <w:ind w:left="5970" w:hanging="360"/>
      </w:pPr>
      <w:rPr>
        <w:rFonts w:hint="default" w:ascii="Wingdings" w:hAnsi="Wingdings"/>
      </w:rPr>
    </w:lvl>
  </w:abstractNum>
  <w:abstractNum w:abstractNumId="6">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val="0"/>
        <w:bCs w:val="0"/>
      </w:rPr>
    </w:lvl>
    <w:lvl w:ilvl="2" w:tentative="0">
      <w:start w:val="1"/>
      <w:numFmt w:val="decimal"/>
      <w:lvlText w:val="%1.%2.%3."/>
      <w:lvlJc w:val="left"/>
      <w:pPr>
        <w:ind w:left="1497" w:hanging="504"/>
      </w:pPr>
      <w:rPr>
        <w:rFonts w:hint="default"/>
        <w:b w:val="0"/>
        <w:bCs w:val="0"/>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9">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0">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1">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b/>
        <w:bCs w:val="0"/>
        <w:sz w:val="17"/>
        <w:szCs w:val="17"/>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2">
    <w:nsid w:val="50150624"/>
    <w:multiLevelType w:val="multilevel"/>
    <w:tmpl w:val="50150624"/>
    <w:lvl w:ilvl="0" w:tentative="0">
      <w:start w:val="1"/>
      <w:numFmt w:val="decimal"/>
      <w:pStyle w:val="280"/>
      <w:lvlText w:val="%1."/>
      <w:lvlJc w:val="left"/>
      <w:pPr>
        <w:ind w:left="360" w:hanging="360"/>
      </w:pPr>
      <w:rPr>
        <w:rFonts w:hint="default"/>
        <w:b/>
      </w:rPr>
    </w:lvl>
    <w:lvl w:ilvl="1" w:tentative="0">
      <w:start w:val="1"/>
      <w:numFmt w:val="decimal"/>
      <w:pStyle w:val="322"/>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2"/>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3">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5">
    <w:nsid w:val="6421523D"/>
    <w:multiLevelType w:val="singleLevel"/>
    <w:tmpl w:val="6421523D"/>
    <w:lvl w:ilvl="0" w:tentative="0">
      <w:start w:val="18"/>
      <w:numFmt w:val="decimal"/>
      <w:suff w:val="space"/>
      <w:lvlText w:val="%1."/>
      <w:lvlJc w:val="left"/>
    </w:lvl>
  </w:abstractNum>
  <w:abstractNum w:abstractNumId="16">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17">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8">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19">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0">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b/>
        <w:bCs/>
        <w:sz w:val="18"/>
        <w:szCs w:val="18"/>
      </w:rPr>
    </w:lvl>
    <w:lvl w:ilvl="3" w:tentative="0">
      <w:start w:val="1"/>
      <w:numFmt w:val="decimal"/>
      <w:lvlText w:val="%1.%2.%3.%4"/>
      <w:lvlJc w:val="left"/>
      <w:pPr>
        <w:ind w:left="720" w:hanging="720"/>
      </w:pPr>
      <w:rPr>
        <w:rFonts w:hint="default"/>
        <w:b w:val="0"/>
        <w:bCs w:val="0"/>
        <w:color w:val="auto"/>
        <w:sz w:val="18"/>
        <w:szCs w:val="18"/>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2"/>
  </w:num>
  <w:num w:numId="2">
    <w:abstractNumId w:val="8"/>
  </w:num>
  <w:num w:numId="3">
    <w:abstractNumId w:val="19"/>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4"/>
  </w:num>
  <w:num w:numId="9">
    <w:abstractNumId w:val="20"/>
  </w:num>
  <w:num w:numId="10">
    <w:abstractNumId w:val="18"/>
  </w:num>
  <w:num w:numId="11">
    <w:abstractNumId w:val="10"/>
  </w:num>
  <w:num w:numId="12">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5"/>
  </w:num>
  <w:num w:numId="17">
    <w:abstractNumId w:val="7"/>
  </w:num>
  <w:num w:numId="18">
    <w:abstractNumId w:val="5"/>
  </w:num>
  <w:num w:numId="19">
    <w:abstractNumId w:val="3"/>
  </w:num>
  <w:num w:numId="20">
    <w:abstractNumId w:val="4"/>
  </w:num>
  <w:num w:numId="21">
    <w:abstractNumId w:val="11"/>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D2C92"/>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47C6A"/>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001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E924B1"/>
    <w:rsid w:val="021F0951"/>
    <w:rsid w:val="023F4F02"/>
    <w:rsid w:val="02A837E9"/>
    <w:rsid w:val="039869FE"/>
    <w:rsid w:val="041462BE"/>
    <w:rsid w:val="046B1633"/>
    <w:rsid w:val="04AC369E"/>
    <w:rsid w:val="05494914"/>
    <w:rsid w:val="057672F2"/>
    <w:rsid w:val="05C36005"/>
    <w:rsid w:val="05DE29C6"/>
    <w:rsid w:val="06041F84"/>
    <w:rsid w:val="06A2436E"/>
    <w:rsid w:val="06A40338"/>
    <w:rsid w:val="06BD7EC9"/>
    <w:rsid w:val="071B739D"/>
    <w:rsid w:val="076B1838"/>
    <w:rsid w:val="07D04327"/>
    <w:rsid w:val="084354F7"/>
    <w:rsid w:val="08662E72"/>
    <w:rsid w:val="088C08E9"/>
    <w:rsid w:val="09280895"/>
    <w:rsid w:val="099A6906"/>
    <w:rsid w:val="09A44850"/>
    <w:rsid w:val="0A1A36A0"/>
    <w:rsid w:val="0A1E5378"/>
    <w:rsid w:val="0A892C60"/>
    <w:rsid w:val="0B2E0FAF"/>
    <w:rsid w:val="0B9434FB"/>
    <w:rsid w:val="0C6254CE"/>
    <w:rsid w:val="0C745C89"/>
    <w:rsid w:val="0C9B62D5"/>
    <w:rsid w:val="0CC5327E"/>
    <w:rsid w:val="0CFF1471"/>
    <w:rsid w:val="0D084D71"/>
    <w:rsid w:val="0D7910A1"/>
    <w:rsid w:val="0E4711FC"/>
    <w:rsid w:val="0F085E08"/>
    <w:rsid w:val="0F9D2C6D"/>
    <w:rsid w:val="108D148E"/>
    <w:rsid w:val="109D402C"/>
    <w:rsid w:val="11C747A2"/>
    <w:rsid w:val="123371E8"/>
    <w:rsid w:val="130A0F08"/>
    <w:rsid w:val="13461D1B"/>
    <w:rsid w:val="134A4E0F"/>
    <w:rsid w:val="13566046"/>
    <w:rsid w:val="135C0EA9"/>
    <w:rsid w:val="13904F26"/>
    <w:rsid w:val="13C52703"/>
    <w:rsid w:val="13F57565"/>
    <w:rsid w:val="140A478A"/>
    <w:rsid w:val="15395446"/>
    <w:rsid w:val="15B03756"/>
    <w:rsid w:val="15EA4168"/>
    <w:rsid w:val="16E549E0"/>
    <w:rsid w:val="16EA4716"/>
    <w:rsid w:val="175C2605"/>
    <w:rsid w:val="181C6D37"/>
    <w:rsid w:val="18343DC6"/>
    <w:rsid w:val="1838494B"/>
    <w:rsid w:val="188006D9"/>
    <w:rsid w:val="18B47B61"/>
    <w:rsid w:val="19002FAD"/>
    <w:rsid w:val="194A621D"/>
    <w:rsid w:val="19AE222D"/>
    <w:rsid w:val="19DF440E"/>
    <w:rsid w:val="1A306BDC"/>
    <w:rsid w:val="1A3B6C9E"/>
    <w:rsid w:val="1A591124"/>
    <w:rsid w:val="1AED0EEA"/>
    <w:rsid w:val="1B5F138E"/>
    <w:rsid w:val="1BC33069"/>
    <w:rsid w:val="1C073510"/>
    <w:rsid w:val="1C155B9F"/>
    <w:rsid w:val="1C1C6842"/>
    <w:rsid w:val="1C912678"/>
    <w:rsid w:val="1D067399"/>
    <w:rsid w:val="1D31392E"/>
    <w:rsid w:val="1DA03128"/>
    <w:rsid w:val="1E0279F8"/>
    <w:rsid w:val="1E4C628E"/>
    <w:rsid w:val="1ECF1EFD"/>
    <w:rsid w:val="1F513231"/>
    <w:rsid w:val="1FA03EF2"/>
    <w:rsid w:val="1FA328F8"/>
    <w:rsid w:val="202F6C59"/>
    <w:rsid w:val="20700482"/>
    <w:rsid w:val="209C70ED"/>
    <w:rsid w:val="20CB235B"/>
    <w:rsid w:val="20D45FA9"/>
    <w:rsid w:val="21033C49"/>
    <w:rsid w:val="21523992"/>
    <w:rsid w:val="2173291C"/>
    <w:rsid w:val="21B34630"/>
    <w:rsid w:val="21B62EB3"/>
    <w:rsid w:val="22DF6543"/>
    <w:rsid w:val="234A2DB2"/>
    <w:rsid w:val="235A16F6"/>
    <w:rsid w:val="243F4EA1"/>
    <w:rsid w:val="24B0470C"/>
    <w:rsid w:val="24D91E32"/>
    <w:rsid w:val="25060297"/>
    <w:rsid w:val="25361FED"/>
    <w:rsid w:val="25632AB4"/>
    <w:rsid w:val="26467D5D"/>
    <w:rsid w:val="268D24CB"/>
    <w:rsid w:val="26A522E5"/>
    <w:rsid w:val="26AB2EEF"/>
    <w:rsid w:val="26E76EFF"/>
    <w:rsid w:val="27935519"/>
    <w:rsid w:val="28177609"/>
    <w:rsid w:val="289D2943"/>
    <w:rsid w:val="28DF667B"/>
    <w:rsid w:val="295938E3"/>
    <w:rsid w:val="296F6575"/>
    <w:rsid w:val="29A90543"/>
    <w:rsid w:val="29B20756"/>
    <w:rsid w:val="29D60DFE"/>
    <w:rsid w:val="29D87A35"/>
    <w:rsid w:val="29ED1C6F"/>
    <w:rsid w:val="29F03C89"/>
    <w:rsid w:val="2A027DF4"/>
    <w:rsid w:val="2A6573D8"/>
    <w:rsid w:val="2B273C3C"/>
    <w:rsid w:val="2B7E0EDF"/>
    <w:rsid w:val="2BA5188B"/>
    <w:rsid w:val="2BAC08D4"/>
    <w:rsid w:val="2BC12DD8"/>
    <w:rsid w:val="2BF66346"/>
    <w:rsid w:val="2C58733A"/>
    <w:rsid w:val="2C7E74AC"/>
    <w:rsid w:val="2CB11091"/>
    <w:rsid w:val="2DB35605"/>
    <w:rsid w:val="2E3F034F"/>
    <w:rsid w:val="2E514506"/>
    <w:rsid w:val="2E611FB6"/>
    <w:rsid w:val="2E7471D0"/>
    <w:rsid w:val="2E950EB9"/>
    <w:rsid w:val="2EE90188"/>
    <w:rsid w:val="2F2612DC"/>
    <w:rsid w:val="2F462A0C"/>
    <w:rsid w:val="2F712264"/>
    <w:rsid w:val="2F7D0104"/>
    <w:rsid w:val="2F8F5830"/>
    <w:rsid w:val="2FB01D49"/>
    <w:rsid w:val="2FE56B8B"/>
    <w:rsid w:val="30213D0E"/>
    <w:rsid w:val="3048049D"/>
    <w:rsid w:val="30704386"/>
    <w:rsid w:val="308D0C3E"/>
    <w:rsid w:val="30B03B21"/>
    <w:rsid w:val="30FC1269"/>
    <w:rsid w:val="310041B1"/>
    <w:rsid w:val="311E3766"/>
    <w:rsid w:val="3150612E"/>
    <w:rsid w:val="31D574D0"/>
    <w:rsid w:val="31E13090"/>
    <w:rsid w:val="320821DE"/>
    <w:rsid w:val="32BF5443"/>
    <w:rsid w:val="32C171AA"/>
    <w:rsid w:val="32F571EE"/>
    <w:rsid w:val="33533F2D"/>
    <w:rsid w:val="33764BA1"/>
    <w:rsid w:val="33E47230"/>
    <w:rsid w:val="34160B18"/>
    <w:rsid w:val="341C3E53"/>
    <w:rsid w:val="351C73E8"/>
    <w:rsid w:val="35414F6E"/>
    <w:rsid w:val="35DB42A7"/>
    <w:rsid w:val="35FD0F8B"/>
    <w:rsid w:val="36153AC8"/>
    <w:rsid w:val="364A4591"/>
    <w:rsid w:val="36E91DC4"/>
    <w:rsid w:val="37AB3314"/>
    <w:rsid w:val="37C74CD0"/>
    <w:rsid w:val="37EC6A19"/>
    <w:rsid w:val="37FF04D4"/>
    <w:rsid w:val="38066D52"/>
    <w:rsid w:val="38541A9E"/>
    <w:rsid w:val="3858680B"/>
    <w:rsid w:val="392A0E24"/>
    <w:rsid w:val="398D25DE"/>
    <w:rsid w:val="3A4D68B5"/>
    <w:rsid w:val="3A782F7C"/>
    <w:rsid w:val="3A8821F4"/>
    <w:rsid w:val="3A8D7822"/>
    <w:rsid w:val="3AE54320"/>
    <w:rsid w:val="3B6D0F0B"/>
    <w:rsid w:val="3BCF7D26"/>
    <w:rsid w:val="3CE04670"/>
    <w:rsid w:val="3D6F1FB5"/>
    <w:rsid w:val="3E203A15"/>
    <w:rsid w:val="3E280296"/>
    <w:rsid w:val="3E9832FD"/>
    <w:rsid w:val="3EAD2680"/>
    <w:rsid w:val="3EE6654F"/>
    <w:rsid w:val="3F1D6EF7"/>
    <w:rsid w:val="3F380C61"/>
    <w:rsid w:val="3F726CB5"/>
    <w:rsid w:val="40C73FD6"/>
    <w:rsid w:val="40FA5D04"/>
    <w:rsid w:val="417501F3"/>
    <w:rsid w:val="42856917"/>
    <w:rsid w:val="429057C0"/>
    <w:rsid w:val="431B5DEF"/>
    <w:rsid w:val="431D4064"/>
    <w:rsid w:val="438E56E3"/>
    <w:rsid w:val="43911EEB"/>
    <w:rsid w:val="440476D6"/>
    <w:rsid w:val="45300692"/>
    <w:rsid w:val="453E5466"/>
    <w:rsid w:val="454C2ACB"/>
    <w:rsid w:val="455C49D9"/>
    <w:rsid w:val="4570367A"/>
    <w:rsid w:val="45737FA1"/>
    <w:rsid w:val="45C41F85"/>
    <w:rsid w:val="45D36BBB"/>
    <w:rsid w:val="45DA4C4B"/>
    <w:rsid w:val="46020A77"/>
    <w:rsid w:val="461D4A97"/>
    <w:rsid w:val="4642363C"/>
    <w:rsid w:val="46591B06"/>
    <w:rsid w:val="46681314"/>
    <w:rsid w:val="46C65063"/>
    <w:rsid w:val="470518CB"/>
    <w:rsid w:val="471D243C"/>
    <w:rsid w:val="47762D97"/>
    <w:rsid w:val="477C2455"/>
    <w:rsid w:val="47FC6227"/>
    <w:rsid w:val="4802235F"/>
    <w:rsid w:val="485149CD"/>
    <w:rsid w:val="48DD08C5"/>
    <w:rsid w:val="48F30D3D"/>
    <w:rsid w:val="49221654"/>
    <w:rsid w:val="49471290"/>
    <w:rsid w:val="49B16491"/>
    <w:rsid w:val="49E75DBF"/>
    <w:rsid w:val="4A1B3C83"/>
    <w:rsid w:val="4AE47087"/>
    <w:rsid w:val="4B6541A4"/>
    <w:rsid w:val="4B821692"/>
    <w:rsid w:val="4B9E2EE3"/>
    <w:rsid w:val="4BA62863"/>
    <w:rsid w:val="4BDF3F6E"/>
    <w:rsid w:val="4BE0608A"/>
    <w:rsid w:val="4BF06BDD"/>
    <w:rsid w:val="4C3111E5"/>
    <w:rsid w:val="4C484637"/>
    <w:rsid w:val="4C690434"/>
    <w:rsid w:val="4CAA6322"/>
    <w:rsid w:val="4CB40148"/>
    <w:rsid w:val="4D3D70AE"/>
    <w:rsid w:val="4D531160"/>
    <w:rsid w:val="4D58730C"/>
    <w:rsid w:val="4D5E6ED9"/>
    <w:rsid w:val="4D87670D"/>
    <w:rsid w:val="4DAF7402"/>
    <w:rsid w:val="4DB846BD"/>
    <w:rsid w:val="4DC06986"/>
    <w:rsid w:val="4DC67027"/>
    <w:rsid w:val="4E2912CA"/>
    <w:rsid w:val="4E377AA9"/>
    <w:rsid w:val="4E3D4066"/>
    <w:rsid w:val="4E581E19"/>
    <w:rsid w:val="4E7116BE"/>
    <w:rsid w:val="4E7E31BB"/>
    <w:rsid w:val="4E811958"/>
    <w:rsid w:val="4EAC3E74"/>
    <w:rsid w:val="4ED107DE"/>
    <w:rsid w:val="4EDB4A5B"/>
    <w:rsid w:val="4F483CBA"/>
    <w:rsid w:val="4FDA3AB0"/>
    <w:rsid w:val="5000564D"/>
    <w:rsid w:val="501C1C11"/>
    <w:rsid w:val="505E3468"/>
    <w:rsid w:val="506742E3"/>
    <w:rsid w:val="5070316E"/>
    <w:rsid w:val="50B5468B"/>
    <w:rsid w:val="50D67C2E"/>
    <w:rsid w:val="51453A91"/>
    <w:rsid w:val="51455CE4"/>
    <w:rsid w:val="517436EE"/>
    <w:rsid w:val="51CF3978"/>
    <w:rsid w:val="51D356B8"/>
    <w:rsid w:val="52465311"/>
    <w:rsid w:val="52860DDA"/>
    <w:rsid w:val="52CF109F"/>
    <w:rsid w:val="52DE0DC1"/>
    <w:rsid w:val="532219F2"/>
    <w:rsid w:val="53287BFD"/>
    <w:rsid w:val="535A7779"/>
    <w:rsid w:val="53A54E0C"/>
    <w:rsid w:val="53E030A9"/>
    <w:rsid w:val="54503E85"/>
    <w:rsid w:val="554716F7"/>
    <w:rsid w:val="55876FC0"/>
    <w:rsid w:val="55BD147F"/>
    <w:rsid w:val="55E15F51"/>
    <w:rsid w:val="56291CEA"/>
    <w:rsid w:val="56B22127"/>
    <w:rsid w:val="56BD255D"/>
    <w:rsid w:val="57137BBD"/>
    <w:rsid w:val="57293FF9"/>
    <w:rsid w:val="57C049B1"/>
    <w:rsid w:val="57C33EC0"/>
    <w:rsid w:val="57D0757A"/>
    <w:rsid w:val="57F265F1"/>
    <w:rsid w:val="58342F28"/>
    <w:rsid w:val="58614E3B"/>
    <w:rsid w:val="5878525E"/>
    <w:rsid w:val="588E3981"/>
    <w:rsid w:val="58940F50"/>
    <w:rsid w:val="58E943C6"/>
    <w:rsid w:val="59194FF3"/>
    <w:rsid w:val="594C2058"/>
    <w:rsid w:val="599D6213"/>
    <w:rsid w:val="59D5303F"/>
    <w:rsid w:val="59DE0E81"/>
    <w:rsid w:val="5A35536E"/>
    <w:rsid w:val="5A4D36B3"/>
    <w:rsid w:val="5A990128"/>
    <w:rsid w:val="5B224A68"/>
    <w:rsid w:val="5B261AA8"/>
    <w:rsid w:val="5B6F0845"/>
    <w:rsid w:val="5BC449ED"/>
    <w:rsid w:val="5C12247E"/>
    <w:rsid w:val="5C581E97"/>
    <w:rsid w:val="5C7E560B"/>
    <w:rsid w:val="5CB731C6"/>
    <w:rsid w:val="5D126C47"/>
    <w:rsid w:val="5D452069"/>
    <w:rsid w:val="5DB73614"/>
    <w:rsid w:val="5ECE3955"/>
    <w:rsid w:val="5F4D6FE9"/>
    <w:rsid w:val="5F777E2D"/>
    <w:rsid w:val="5F8F5750"/>
    <w:rsid w:val="5FA93E7F"/>
    <w:rsid w:val="5FEA04C5"/>
    <w:rsid w:val="60683A88"/>
    <w:rsid w:val="61436DAE"/>
    <w:rsid w:val="615B29A0"/>
    <w:rsid w:val="61A04AD5"/>
    <w:rsid w:val="61F74F7D"/>
    <w:rsid w:val="6212532B"/>
    <w:rsid w:val="627444BC"/>
    <w:rsid w:val="62D665B5"/>
    <w:rsid w:val="62E83F51"/>
    <w:rsid w:val="633E2577"/>
    <w:rsid w:val="63AD2564"/>
    <w:rsid w:val="63DA3E24"/>
    <w:rsid w:val="63F5795B"/>
    <w:rsid w:val="63F97611"/>
    <w:rsid w:val="64655269"/>
    <w:rsid w:val="646B1ECF"/>
    <w:rsid w:val="646B6AF5"/>
    <w:rsid w:val="648D429C"/>
    <w:rsid w:val="655C6A24"/>
    <w:rsid w:val="67236BC5"/>
    <w:rsid w:val="67421678"/>
    <w:rsid w:val="67AD5FAB"/>
    <w:rsid w:val="67E049F9"/>
    <w:rsid w:val="68B7343F"/>
    <w:rsid w:val="68D827BB"/>
    <w:rsid w:val="69634EFA"/>
    <w:rsid w:val="69C45E93"/>
    <w:rsid w:val="6A027B6C"/>
    <w:rsid w:val="6A0D62A7"/>
    <w:rsid w:val="6A324E95"/>
    <w:rsid w:val="6A465168"/>
    <w:rsid w:val="6A902988"/>
    <w:rsid w:val="6AC95741"/>
    <w:rsid w:val="6AEA3E9C"/>
    <w:rsid w:val="6B491513"/>
    <w:rsid w:val="6B80774C"/>
    <w:rsid w:val="6C1A102C"/>
    <w:rsid w:val="6C206D03"/>
    <w:rsid w:val="6CAC2460"/>
    <w:rsid w:val="6D667622"/>
    <w:rsid w:val="6DBA1CB4"/>
    <w:rsid w:val="6E114EEB"/>
    <w:rsid w:val="6E11600D"/>
    <w:rsid w:val="6E147427"/>
    <w:rsid w:val="6E885E6B"/>
    <w:rsid w:val="6EA9791B"/>
    <w:rsid w:val="6EEF28F1"/>
    <w:rsid w:val="6F1351D1"/>
    <w:rsid w:val="6F742AF2"/>
    <w:rsid w:val="6FD9651F"/>
    <w:rsid w:val="6FE13B94"/>
    <w:rsid w:val="6FEA5F4A"/>
    <w:rsid w:val="6FF41EBB"/>
    <w:rsid w:val="701B1641"/>
    <w:rsid w:val="70265C11"/>
    <w:rsid w:val="702D3EF9"/>
    <w:rsid w:val="702E2F9A"/>
    <w:rsid w:val="704509C1"/>
    <w:rsid w:val="704B327F"/>
    <w:rsid w:val="716B0135"/>
    <w:rsid w:val="71CE6D1D"/>
    <w:rsid w:val="71D21B21"/>
    <w:rsid w:val="7204769A"/>
    <w:rsid w:val="723C5B16"/>
    <w:rsid w:val="72452437"/>
    <w:rsid w:val="725A39AC"/>
    <w:rsid w:val="731A4C66"/>
    <w:rsid w:val="734C5C19"/>
    <w:rsid w:val="73A103C3"/>
    <w:rsid w:val="73E94E79"/>
    <w:rsid w:val="74237697"/>
    <w:rsid w:val="74484054"/>
    <w:rsid w:val="747C21C8"/>
    <w:rsid w:val="750C7615"/>
    <w:rsid w:val="75463962"/>
    <w:rsid w:val="756B0CB3"/>
    <w:rsid w:val="75797FFF"/>
    <w:rsid w:val="76846FE7"/>
    <w:rsid w:val="769969FA"/>
    <w:rsid w:val="77110C43"/>
    <w:rsid w:val="77296694"/>
    <w:rsid w:val="773E49D2"/>
    <w:rsid w:val="77501E6D"/>
    <w:rsid w:val="776E2095"/>
    <w:rsid w:val="77DE719F"/>
    <w:rsid w:val="77FA49FE"/>
    <w:rsid w:val="78061E7B"/>
    <w:rsid w:val="781D5C9E"/>
    <w:rsid w:val="784150D0"/>
    <w:rsid w:val="789336DE"/>
    <w:rsid w:val="78DD679B"/>
    <w:rsid w:val="78FA2D43"/>
    <w:rsid w:val="79924C25"/>
    <w:rsid w:val="7A633959"/>
    <w:rsid w:val="7A7132D9"/>
    <w:rsid w:val="7AEA1B01"/>
    <w:rsid w:val="7AFB26E8"/>
    <w:rsid w:val="7B1201EF"/>
    <w:rsid w:val="7B9375BC"/>
    <w:rsid w:val="7BB7279F"/>
    <w:rsid w:val="7C220E9E"/>
    <w:rsid w:val="7C38707B"/>
    <w:rsid w:val="7C3F355D"/>
    <w:rsid w:val="7C5278FB"/>
    <w:rsid w:val="7C6F3E79"/>
    <w:rsid w:val="7C993579"/>
    <w:rsid w:val="7D29634E"/>
    <w:rsid w:val="7D7635FF"/>
    <w:rsid w:val="7DAE615B"/>
    <w:rsid w:val="7E233080"/>
    <w:rsid w:val="7E775D49"/>
    <w:rsid w:val="7ED2536B"/>
    <w:rsid w:val="7F024C6C"/>
    <w:rsid w:val="7F064067"/>
    <w:rsid w:val="7F43588D"/>
    <w:rsid w:val="7F577CBE"/>
    <w:rsid w:val="7F7D5B00"/>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link w:val="340"/>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3"/>
    <w:next w:val="3"/>
    <w:link w:val="196"/>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4">
    <w:name w:val="heading 2"/>
    <w:basedOn w:val="1"/>
    <w:next w:val="1"/>
    <w:qFormat/>
    <w:uiPriority w:val="0"/>
    <w:pPr>
      <w:keepNext/>
      <w:keepLines w:val="0"/>
      <w:pageBreakBefore w:val="0"/>
      <w:widowControl/>
      <w:shd w:val="clear" w:fill="auto"/>
      <w:spacing w:before="100" w:after="100" w:line="360" w:lineRule="auto"/>
      <w:ind w:left="0" w:right="0" w:firstLine="0"/>
      <w:jc w:val="both"/>
    </w:pPr>
    <w:rPr>
      <w:rFonts w:ascii="Arial" w:hAnsi="Arial" w:eastAsia="Arial" w:cs="Arial"/>
      <w:b/>
      <w:bCs/>
      <w:color w:val="000000"/>
      <w:position w:val="0"/>
      <w:sz w:val="24"/>
      <w:szCs w:val="24"/>
      <w:u w:val="none"/>
      <w:shd w:val="clear" w:fill="auto"/>
      <w:vertAlign w:val="baseline"/>
    </w:rPr>
  </w:style>
  <w:style w:type="character" w:default="1" w:styleId="5">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3">
    <w:name w:val="normal1"/>
    <w:qFormat/>
    <w:uiPriority w:val="0"/>
    <w:pPr>
      <w:widowControl/>
      <w:suppressAutoHyphens/>
      <w:bidi w:val="0"/>
      <w:spacing w:before="0" w:after="0"/>
      <w:jc w:val="left"/>
    </w:pPr>
    <w:rPr>
      <w:rFonts w:ascii="Arial" w:hAnsi="Arial" w:eastAsia="Arial" w:cs="Arial"/>
      <w:color w:val="auto"/>
      <w:kern w:val="0"/>
      <w:sz w:val="24"/>
      <w:szCs w:val="24"/>
      <w:lang w:val="en-US" w:eastAsia="zh-CN" w:bidi="hi-IN"/>
    </w:rPr>
  </w:style>
  <w:style w:type="character" w:styleId="7">
    <w:name w:val="endnote reference"/>
    <w:basedOn w:val="5"/>
    <w:autoRedefine/>
    <w:semiHidden/>
    <w:unhideWhenUsed/>
    <w:qFormat/>
    <w:uiPriority w:val="99"/>
    <w:rPr>
      <w:vertAlign w:val="superscript"/>
    </w:rPr>
  </w:style>
  <w:style w:type="character" w:styleId="8">
    <w:name w:val="Strong"/>
    <w:basedOn w:val="5"/>
    <w:autoRedefine/>
    <w:qFormat/>
    <w:uiPriority w:val="22"/>
    <w:rPr>
      <w:rFonts w:cs="Times New Roman"/>
      <w:b/>
      <w:bCs/>
    </w:rPr>
  </w:style>
  <w:style w:type="character" w:styleId="9">
    <w:name w:val="annotation reference"/>
    <w:basedOn w:val="5"/>
    <w:autoRedefine/>
    <w:semiHidden/>
    <w:unhideWhenUsed/>
    <w:qFormat/>
    <w:uiPriority w:val="0"/>
    <w:rPr>
      <w:sz w:val="16"/>
      <w:szCs w:val="16"/>
    </w:rPr>
  </w:style>
  <w:style w:type="character" w:styleId="10">
    <w:name w:val="FollowedHyperlink"/>
    <w:basedOn w:val="5"/>
    <w:autoRedefine/>
    <w:unhideWhenUsed/>
    <w:qFormat/>
    <w:uiPriority w:val="0"/>
    <w:rPr>
      <w:color w:val="800080"/>
      <w:u w:val="single"/>
    </w:rPr>
  </w:style>
  <w:style w:type="character" w:styleId="11">
    <w:name w:val="Emphasis"/>
    <w:basedOn w:val="5"/>
    <w:autoRedefine/>
    <w:qFormat/>
    <w:uiPriority w:val="20"/>
    <w:rPr>
      <w:i/>
      <w:iCs/>
    </w:rPr>
  </w:style>
  <w:style w:type="character" w:styleId="12">
    <w:name w:val="footnote reference"/>
    <w:basedOn w:val="5"/>
    <w:autoRedefine/>
    <w:semiHidden/>
    <w:unhideWhenUsed/>
    <w:qFormat/>
    <w:uiPriority w:val="99"/>
    <w:rPr>
      <w:vertAlign w:val="superscript"/>
    </w:rPr>
  </w:style>
  <w:style w:type="character" w:styleId="13">
    <w:name w:val="Hyperlink"/>
    <w:basedOn w:val="5"/>
    <w:autoRedefine/>
    <w:qFormat/>
    <w:uiPriority w:val="0"/>
    <w:rPr>
      <w:rFonts w:cs="Times New Roman"/>
      <w:color w:val="000080"/>
      <w:u w:val="single"/>
    </w:rPr>
  </w:style>
  <w:style w:type="paragraph" w:styleId="14">
    <w:name w:val="toc 2"/>
    <w:basedOn w:val="1"/>
    <w:next w:val="1"/>
    <w:autoRedefine/>
    <w:unhideWhenUsed/>
    <w:qFormat/>
    <w:uiPriority w:val="39"/>
    <w:pPr>
      <w:spacing w:after="57"/>
      <w:ind w:left="283"/>
    </w:pPr>
  </w:style>
  <w:style w:type="paragraph" w:styleId="15">
    <w:name w:val="toc 9"/>
    <w:basedOn w:val="1"/>
    <w:next w:val="1"/>
    <w:autoRedefine/>
    <w:unhideWhenUsed/>
    <w:qFormat/>
    <w:uiPriority w:val="39"/>
    <w:pPr>
      <w:spacing w:after="57"/>
      <w:ind w:left="2268"/>
    </w:pPr>
  </w:style>
  <w:style w:type="paragraph" w:styleId="16">
    <w:name w:val="Body Text"/>
    <w:basedOn w:val="1"/>
    <w:link w:val="200"/>
    <w:autoRedefine/>
    <w:qFormat/>
    <w:uiPriority w:val="0"/>
    <w:pPr>
      <w:jc w:val="both"/>
    </w:pPr>
    <w:rPr>
      <w:b/>
      <w:bCs/>
    </w:rPr>
  </w:style>
  <w:style w:type="paragraph" w:styleId="17">
    <w:name w:val="toc 6"/>
    <w:basedOn w:val="1"/>
    <w:next w:val="1"/>
    <w:autoRedefine/>
    <w:unhideWhenUsed/>
    <w:qFormat/>
    <w:uiPriority w:val="39"/>
    <w:pPr>
      <w:spacing w:after="57"/>
      <w:ind w:left="1417"/>
    </w:pPr>
  </w:style>
  <w:style w:type="paragraph" w:styleId="18">
    <w:name w:val="annotation text"/>
    <w:basedOn w:val="1"/>
    <w:link w:val="310"/>
    <w:autoRedefine/>
    <w:semiHidden/>
    <w:unhideWhenUsed/>
    <w:qFormat/>
    <w:uiPriority w:val="0"/>
    <w:rPr>
      <w:rFonts w:ascii="ecofont_spranq_eco_sans" w:hAnsi="ecofont_spranq_eco_sans" w:cs="Tahoma" w:eastAsiaTheme="minorEastAsia"/>
      <w:sz w:val="20"/>
      <w:szCs w:val="20"/>
    </w:rPr>
  </w:style>
  <w:style w:type="paragraph" w:styleId="19">
    <w:name w:val="toc 5"/>
    <w:basedOn w:val="1"/>
    <w:next w:val="1"/>
    <w:autoRedefine/>
    <w:unhideWhenUsed/>
    <w:qFormat/>
    <w:uiPriority w:val="39"/>
    <w:pPr>
      <w:spacing w:after="57"/>
      <w:ind w:left="1134"/>
    </w:pPr>
  </w:style>
  <w:style w:type="paragraph" w:styleId="20">
    <w:name w:val="table of figures"/>
    <w:basedOn w:val="1"/>
    <w:next w:val="1"/>
    <w:autoRedefine/>
    <w:unhideWhenUsed/>
    <w:qFormat/>
    <w:uiPriority w:val="99"/>
  </w:style>
  <w:style w:type="paragraph" w:styleId="21">
    <w:name w:val="Title"/>
    <w:basedOn w:val="1"/>
    <w:link w:val="207"/>
    <w:autoRedefine/>
    <w:qFormat/>
    <w:uiPriority w:val="99"/>
    <w:pPr>
      <w:jc w:val="center"/>
    </w:pPr>
    <w:rPr>
      <w:b/>
      <w:bCs/>
      <w:sz w:val="40"/>
    </w:rPr>
  </w:style>
  <w:style w:type="paragraph" w:styleId="22">
    <w:name w:val="endnote text"/>
    <w:basedOn w:val="1"/>
    <w:link w:val="226"/>
    <w:autoRedefine/>
    <w:semiHidden/>
    <w:unhideWhenUsed/>
    <w:qFormat/>
    <w:uiPriority w:val="99"/>
    <w:rPr>
      <w:sz w:val="20"/>
      <w:szCs w:val="20"/>
    </w:rPr>
  </w:style>
  <w:style w:type="paragraph" w:styleId="23">
    <w:name w:val="Normal (Web)"/>
    <w:basedOn w:val="1"/>
    <w:autoRedefine/>
    <w:qFormat/>
    <w:uiPriority w:val="99"/>
    <w:pPr>
      <w:spacing w:before="100" w:beforeAutospacing="1" w:after="100" w:afterAutospacing="1"/>
    </w:pPr>
  </w:style>
  <w:style w:type="paragraph" w:styleId="24">
    <w:name w:val="toc 4"/>
    <w:basedOn w:val="1"/>
    <w:next w:val="1"/>
    <w:autoRedefine/>
    <w:unhideWhenUsed/>
    <w:qFormat/>
    <w:uiPriority w:val="39"/>
    <w:pPr>
      <w:spacing w:after="57"/>
      <w:ind w:left="850"/>
    </w:pPr>
  </w:style>
  <w:style w:type="paragraph" w:styleId="25">
    <w:name w:val="toc 8"/>
    <w:basedOn w:val="1"/>
    <w:next w:val="1"/>
    <w:autoRedefine/>
    <w:unhideWhenUsed/>
    <w:qFormat/>
    <w:uiPriority w:val="39"/>
    <w:pPr>
      <w:spacing w:after="57"/>
      <w:ind w:left="1984"/>
    </w:pPr>
  </w:style>
  <w:style w:type="paragraph" w:styleId="26">
    <w:name w:val="Body Text 3"/>
    <w:basedOn w:val="1"/>
    <w:link w:val="206"/>
    <w:autoRedefine/>
    <w:qFormat/>
    <w:uiPriority w:val="99"/>
    <w:pPr>
      <w:spacing w:after="120"/>
    </w:pPr>
    <w:rPr>
      <w:sz w:val="16"/>
      <w:szCs w:val="16"/>
    </w:rPr>
  </w:style>
  <w:style w:type="paragraph" w:styleId="27">
    <w:name w:val="HTML Preformatted"/>
    <w:basedOn w:val="1"/>
    <w:link w:val="281"/>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8">
    <w:name w:val="Body Text 2"/>
    <w:basedOn w:val="1"/>
    <w:link w:val="210"/>
    <w:autoRedefine/>
    <w:qFormat/>
    <w:uiPriority w:val="99"/>
    <w:pPr>
      <w:spacing w:after="120" w:line="480" w:lineRule="auto"/>
    </w:pPr>
  </w:style>
  <w:style w:type="paragraph" w:styleId="29">
    <w:name w:val="header"/>
    <w:basedOn w:val="1"/>
    <w:link w:val="298"/>
    <w:autoRedefine/>
    <w:unhideWhenUsed/>
    <w:qFormat/>
    <w:uiPriority w:val="99"/>
    <w:pPr>
      <w:tabs>
        <w:tab w:val="center" w:pos="4252"/>
        <w:tab w:val="right" w:pos="8504"/>
      </w:tabs>
    </w:pPr>
  </w:style>
  <w:style w:type="paragraph" w:styleId="30">
    <w:name w:val="annotation subject"/>
    <w:basedOn w:val="18"/>
    <w:next w:val="18"/>
    <w:link w:val="316"/>
    <w:autoRedefine/>
    <w:semiHidden/>
    <w:unhideWhenUsed/>
    <w:qFormat/>
    <w:uiPriority w:val="99"/>
    <w:rPr>
      <w:rFonts w:ascii="Times New Roman" w:hAnsi="Times New Roman" w:eastAsia="Times New Roman" w:cs="Times New Roman"/>
      <w:b/>
      <w:bCs/>
    </w:rPr>
  </w:style>
  <w:style w:type="paragraph" w:styleId="31">
    <w:name w:val="footer"/>
    <w:basedOn w:val="1"/>
    <w:link w:val="299"/>
    <w:autoRedefine/>
    <w:unhideWhenUsed/>
    <w:qFormat/>
    <w:uiPriority w:val="99"/>
    <w:pPr>
      <w:tabs>
        <w:tab w:val="center" w:pos="4252"/>
        <w:tab w:val="right" w:pos="8504"/>
      </w:tabs>
    </w:pPr>
  </w:style>
  <w:style w:type="paragraph" w:styleId="32">
    <w:name w:val="toc 7"/>
    <w:basedOn w:val="1"/>
    <w:next w:val="1"/>
    <w:autoRedefine/>
    <w:unhideWhenUsed/>
    <w:qFormat/>
    <w:uiPriority w:val="39"/>
    <w:pPr>
      <w:spacing w:after="57"/>
      <w:ind w:left="1701"/>
    </w:pPr>
  </w:style>
  <w:style w:type="paragraph" w:styleId="33">
    <w:name w:val="Body Text Indent 3"/>
    <w:basedOn w:val="1"/>
    <w:link w:val="296"/>
    <w:autoRedefine/>
    <w:qFormat/>
    <w:uiPriority w:val="0"/>
    <w:pPr>
      <w:spacing w:after="120"/>
      <w:ind w:left="283"/>
    </w:pPr>
    <w:rPr>
      <w:sz w:val="16"/>
      <w:szCs w:val="16"/>
    </w:rPr>
  </w:style>
  <w:style w:type="paragraph" w:styleId="34">
    <w:name w:val="toc 3"/>
    <w:basedOn w:val="1"/>
    <w:next w:val="1"/>
    <w:autoRedefine/>
    <w:unhideWhenUsed/>
    <w:qFormat/>
    <w:uiPriority w:val="39"/>
    <w:pPr>
      <w:spacing w:after="57"/>
      <w:ind w:left="567"/>
    </w:pPr>
  </w:style>
  <w:style w:type="paragraph" w:styleId="35">
    <w:name w:val="Balloon Text"/>
    <w:basedOn w:val="1"/>
    <w:link w:val="205"/>
    <w:autoRedefine/>
    <w:qFormat/>
    <w:uiPriority w:val="0"/>
    <w:rPr>
      <w:rFonts w:ascii="Tahoma" w:hAnsi="Tahoma" w:cs="Tahoma"/>
      <w:sz w:val="16"/>
      <w:szCs w:val="16"/>
    </w:rPr>
  </w:style>
  <w:style w:type="paragraph" w:styleId="36">
    <w:name w:val="Subtitle"/>
    <w:basedOn w:val="1"/>
    <w:next w:val="1"/>
    <w:link w:val="53"/>
    <w:autoRedefine/>
    <w:qFormat/>
    <w:uiPriority w:val="11"/>
    <w:pPr>
      <w:spacing w:before="200" w:after="200"/>
    </w:pPr>
  </w:style>
  <w:style w:type="paragraph" w:styleId="37">
    <w:name w:val="footnote text"/>
    <w:basedOn w:val="1"/>
    <w:link w:val="223"/>
    <w:autoRedefine/>
    <w:semiHidden/>
    <w:unhideWhenUsed/>
    <w:qFormat/>
    <w:uiPriority w:val="99"/>
    <w:rPr>
      <w:sz w:val="20"/>
      <w:szCs w:val="20"/>
    </w:rPr>
  </w:style>
  <w:style w:type="paragraph" w:styleId="38">
    <w:name w:val="toc 1"/>
    <w:basedOn w:val="1"/>
    <w:next w:val="1"/>
    <w:autoRedefine/>
    <w:unhideWhenUsed/>
    <w:qFormat/>
    <w:uiPriority w:val="39"/>
    <w:pPr>
      <w:spacing w:after="57"/>
    </w:pPr>
  </w:style>
  <w:style w:type="paragraph" w:styleId="39">
    <w:name w:val="Body Text Indent"/>
    <w:basedOn w:val="1"/>
    <w:link w:val="295"/>
    <w:autoRedefine/>
    <w:qFormat/>
    <w:uiPriority w:val="0"/>
    <w:pPr>
      <w:ind w:firstLine="708"/>
    </w:pPr>
    <w:rPr>
      <w:color w:val="000000"/>
      <w:sz w:val="28"/>
    </w:rPr>
  </w:style>
  <w:style w:type="table" w:styleId="40">
    <w:name w:val="Table Grid"/>
    <w:basedOn w:val="6"/>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
    <w:name w:val="Heading 1 Char"/>
    <w:basedOn w:val="5"/>
    <w:autoRedefine/>
    <w:qFormat/>
    <w:uiPriority w:val="9"/>
    <w:rPr>
      <w:rFonts w:ascii="Arial" w:hAnsi="Arial" w:eastAsia="Arial" w:cs="Arial"/>
      <w:sz w:val="40"/>
      <w:szCs w:val="40"/>
    </w:rPr>
  </w:style>
  <w:style w:type="character" w:customStyle="1" w:styleId="42">
    <w:name w:val="Heading 2 Char"/>
    <w:basedOn w:val="5"/>
    <w:autoRedefine/>
    <w:qFormat/>
    <w:uiPriority w:val="9"/>
    <w:rPr>
      <w:rFonts w:ascii="Arial" w:hAnsi="Arial" w:eastAsia="Arial" w:cs="Arial"/>
      <w:sz w:val="34"/>
    </w:rPr>
  </w:style>
  <w:style w:type="character" w:customStyle="1" w:styleId="43">
    <w:name w:val="Heading 3 Char"/>
    <w:basedOn w:val="5"/>
    <w:autoRedefine/>
    <w:qFormat/>
    <w:uiPriority w:val="9"/>
    <w:rPr>
      <w:rFonts w:ascii="Arial" w:hAnsi="Arial" w:eastAsia="Arial" w:cs="Arial"/>
      <w:sz w:val="30"/>
      <w:szCs w:val="30"/>
    </w:rPr>
  </w:style>
  <w:style w:type="character" w:customStyle="1" w:styleId="44">
    <w:name w:val="Heading 4 Char"/>
    <w:basedOn w:val="5"/>
    <w:autoRedefine/>
    <w:qFormat/>
    <w:uiPriority w:val="9"/>
    <w:rPr>
      <w:rFonts w:ascii="Arial" w:hAnsi="Arial" w:eastAsia="Arial" w:cs="Arial"/>
      <w:b/>
      <w:bCs/>
      <w:sz w:val="26"/>
      <w:szCs w:val="26"/>
    </w:rPr>
  </w:style>
  <w:style w:type="character" w:customStyle="1" w:styleId="45">
    <w:name w:val="Heading 5 Char"/>
    <w:basedOn w:val="5"/>
    <w:autoRedefine/>
    <w:qFormat/>
    <w:uiPriority w:val="9"/>
    <w:rPr>
      <w:rFonts w:ascii="Arial" w:hAnsi="Arial" w:eastAsia="Arial" w:cs="Arial"/>
      <w:b/>
      <w:bCs/>
      <w:sz w:val="24"/>
      <w:szCs w:val="24"/>
    </w:rPr>
  </w:style>
  <w:style w:type="character" w:customStyle="1" w:styleId="46">
    <w:name w:val="Heading 6 Char"/>
    <w:basedOn w:val="5"/>
    <w:autoRedefine/>
    <w:qFormat/>
    <w:uiPriority w:val="9"/>
    <w:rPr>
      <w:rFonts w:ascii="Arial" w:hAnsi="Arial" w:eastAsia="Arial" w:cs="Arial"/>
      <w:b/>
      <w:bCs/>
      <w:sz w:val="22"/>
      <w:szCs w:val="22"/>
    </w:rPr>
  </w:style>
  <w:style w:type="character" w:customStyle="1" w:styleId="47">
    <w:name w:val="Heading 7 Char"/>
    <w:basedOn w:val="5"/>
    <w:autoRedefine/>
    <w:qFormat/>
    <w:uiPriority w:val="9"/>
    <w:rPr>
      <w:rFonts w:ascii="Arial" w:hAnsi="Arial" w:eastAsia="Arial" w:cs="Arial"/>
      <w:b/>
      <w:bCs/>
      <w:i/>
      <w:iCs/>
      <w:sz w:val="22"/>
      <w:szCs w:val="22"/>
    </w:rPr>
  </w:style>
  <w:style w:type="paragraph" w:customStyle="1" w:styleId="48">
    <w:name w:val="Título 81"/>
    <w:basedOn w:val="1"/>
    <w:next w:val="1"/>
    <w:link w:val="49"/>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9">
    <w:name w:val="Heading 8 Char"/>
    <w:basedOn w:val="5"/>
    <w:link w:val="48"/>
    <w:autoRedefine/>
    <w:qFormat/>
    <w:uiPriority w:val="9"/>
    <w:rPr>
      <w:rFonts w:ascii="Arial" w:hAnsi="Arial" w:eastAsia="Arial" w:cs="Arial"/>
      <w:i/>
      <w:iCs/>
      <w:sz w:val="22"/>
      <w:szCs w:val="22"/>
    </w:rPr>
  </w:style>
  <w:style w:type="paragraph" w:customStyle="1" w:styleId="50">
    <w:name w:val="Título 91"/>
    <w:basedOn w:val="1"/>
    <w:next w:val="1"/>
    <w:link w:val="51"/>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1">
    <w:name w:val="Heading 9 Char"/>
    <w:basedOn w:val="5"/>
    <w:link w:val="50"/>
    <w:autoRedefine/>
    <w:qFormat/>
    <w:uiPriority w:val="9"/>
    <w:rPr>
      <w:rFonts w:ascii="Arial" w:hAnsi="Arial" w:eastAsia="Arial" w:cs="Arial"/>
      <w:i/>
      <w:iCs/>
      <w:sz w:val="21"/>
      <w:szCs w:val="21"/>
    </w:rPr>
  </w:style>
  <w:style w:type="character" w:customStyle="1" w:styleId="52">
    <w:name w:val="Title Char"/>
    <w:basedOn w:val="5"/>
    <w:autoRedefine/>
    <w:qFormat/>
    <w:uiPriority w:val="10"/>
    <w:rPr>
      <w:sz w:val="48"/>
      <w:szCs w:val="48"/>
    </w:rPr>
  </w:style>
  <w:style w:type="character" w:customStyle="1" w:styleId="53">
    <w:name w:val="Subtítulo Char"/>
    <w:basedOn w:val="5"/>
    <w:link w:val="36"/>
    <w:autoRedefine/>
    <w:qFormat/>
    <w:uiPriority w:val="11"/>
    <w:rPr>
      <w:sz w:val="24"/>
      <w:szCs w:val="24"/>
    </w:rPr>
  </w:style>
  <w:style w:type="character" w:customStyle="1" w:styleId="54">
    <w:name w:val="Quote Char"/>
    <w:autoRedefine/>
    <w:qFormat/>
    <w:uiPriority w:val="29"/>
    <w:rPr>
      <w:i/>
    </w:rPr>
  </w:style>
  <w:style w:type="paragraph" w:styleId="55">
    <w:name w:val="Intense Quote"/>
    <w:basedOn w:val="1"/>
    <w:next w:val="1"/>
    <w:link w:val="56"/>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6">
    <w:name w:val="Citação Intensa Char"/>
    <w:link w:val="55"/>
    <w:autoRedefine/>
    <w:qFormat/>
    <w:uiPriority w:val="30"/>
    <w:rPr>
      <w:i/>
    </w:rPr>
  </w:style>
  <w:style w:type="character" w:customStyle="1" w:styleId="57">
    <w:name w:val="Header Char"/>
    <w:basedOn w:val="5"/>
    <w:autoRedefine/>
    <w:qFormat/>
    <w:uiPriority w:val="99"/>
  </w:style>
  <w:style w:type="character" w:customStyle="1" w:styleId="58">
    <w:name w:val="Footer Char"/>
    <w:basedOn w:val="5"/>
    <w:autoRedefine/>
    <w:qFormat/>
    <w:uiPriority w:val="99"/>
  </w:style>
  <w:style w:type="paragraph" w:customStyle="1" w:styleId="59">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60">
    <w:name w:val="Caption Char"/>
    <w:autoRedefine/>
    <w:qFormat/>
    <w:uiPriority w:val="99"/>
  </w:style>
  <w:style w:type="table" w:customStyle="1" w:styleId="61">
    <w:name w:val="Table Grid Light"/>
    <w:basedOn w:val="6"/>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2">
    <w:name w:val="Tabela Simples 11"/>
    <w:basedOn w:val="6"/>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3">
    <w:name w:val="Tabela Simples 21"/>
    <w:basedOn w:val="6"/>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4">
    <w:name w:val="Tabela Simples 31"/>
    <w:basedOn w:val="6"/>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Simples 41"/>
    <w:basedOn w:val="6"/>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Simples 51"/>
    <w:basedOn w:val="6"/>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7">
    <w:name w:val="Tabela de Grade 1 Clara1"/>
    <w:basedOn w:val="6"/>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8">
    <w:name w:val="Grid Table 1 Light - Accent 1"/>
    <w:basedOn w:val="6"/>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9">
    <w:name w:val="Grid Table 1 Light - Accent 2"/>
    <w:basedOn w:val="6"/>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70">
    <w:name w:val="Grid Table 1 Light - Accent 3"/>
    <w:basedOn w:val="6"/>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1">
    <w:name w:val="Grid Table 1 Light - Accent 4"/>
    <w:basedOn w:val="6"/>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2">
    <w:name w:val="Grid Table 1 Light - Accent 5"/>
    <w:basedOn w:val="6"/>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3">
    <w:name w:val="Grid Table 1 Light - Accent 6"/>
    <w:basedOn w:val="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4">
    <w:name w:val="Tabela de Grade 21"/>
    <w:basedOn w:val="6"/>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5">
    <w:name w:val="Grid Table 2 - Accent 1"/>
    <w:basedOn w:val="6"/>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6">
    <w:name w:val="Grid Table 2 - Accent 2"/>
    <w:basedOn w:val="6"/>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7">
    <w:name w:val="Grid Table 2 - Accent 3"/>
    <w:basedOn w:val="6"/>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8">
    <w:name w:val="Grid Table 2 - Accent 4"/>
    <w:basedOn w:val="6"/>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9">
    <w:name w:val="Grid Table 2 - Accent 5"/>
    <w:basedOn w:val="6"/>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0">
    <w:name w:val="Grid Table 2 - Accent 6"/>
    <w:basedOn w:val="6"/>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1">
    <w:name w:val="Tabela de Grade 31"/>
    <w:basedOn w:val="6"/>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2">
    <w:name w:val="Grid Table 3 - Accent 1"/>
    <w:basedOn w:val="6"/>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3">
    <w:name w:val="Grid Table 3 - Accent 2"/>
    <w:basedOn w:val="6"/>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4">
    <w:name w:val="Grid Table 3 - Accent 3"/>
    <w:basedOn w:val="6"/>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5">
    <w:name w:val="Grid Table 3 - Accent 4"/>
    <w:basedOn w:val="6"/>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6">
    <w:name w:val="Grid Table 3 - Accent 5"/>
    <w:basedOn w:val="6"/>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7">
    <w:name w:val="Grid Table 3 - Accent 6"/>
    <w:basedOn w:val="6"/>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8">
    <w:name w:val="Tabela de Grade 41"/>
    <w:basedOn w:val="6"/>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9">
    <w:name w:val="Grid Table 4 - Accent 1"/>
    <w:basedOn w:val="6"/>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90">
    <w:name w:val="Grid Table 4 - Accent 2"/>
    <w:basedOn w:val="6"/>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1">
    <w:name w:val="Grid Table 4 - Accent 3"/>
    <w:basedOn w:val="6"/>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2">
    <w:name w:val="Grid Table 4 - Accent 4"/>
    <w:basedOn w:val="6"/>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3">
    <w:name w:val="Grid Table 4 - Accent 5"/>
    <w:basedOn w:val="6"/>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4">
    <w:name w:val="Grid Table 4 - Accent 6"/>
    <w:basedOn w:val="6"/>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5">
    <w:name w:val="Tabela de Grade 5 Escura1"/>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6">
    <w:name w:val="Grid Table 5 Dark- Accent 1"/>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7">
    <w:name w:val="Grid Table 5 Dark - Accent 2"/>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8">
    <w:name w:val="Grid Table 5 Dark - Accent 3"/>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9">
    <w:name w:val="Grid Table 5 Dark- Accent 4"/>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100">
    <w:name w:val="Grid Table 5 Dark - Accent 5"/>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1">
    <w:name w:val="Grid Table 5 Dark - Accent 6"/>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2">
    <w:name w:val="Tabela de Grade 6 Colorida1"/>
    <w:basedOn w:val="6"/>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3">
    <w:name w:val="Grid Table 6 Colorful - Accent 1"/>
    <w:basedOn w:val="6"/>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4">
    <w:name w:val="Grid Table 6 Colorful - Accent 2"/>
    <w:basedOn w:val="6"/>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5">
    <w:name w:val="Grid Table 6 Colorful - Accent 3"/>
    <w:basedOn w:val="6"/>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6">
    <w:name w:val="Grid Table 6 Colorful - Accent 4"/>
    <w:basedOn w:val="6"/>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7">
    <w:name w:val="Grid Table 6 Colorful - Accent 5"/>
    <w:basedOn w:val="6"/>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8">
    <w:name w:val="Grid Table 6 Colorful - Accent 6"/>
    <w:basedOn w:val="6"/>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9">
    <w:name w:val="Tabela de Grade 7 Colorida1"/>
    <w:basedOn w:val="6"/>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0">
    <w:name w:val="Grid Table 7 Colorful - Accent 1"/>
    <w:basedOn w:val="6"/>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1">
    <w:name w:val="Grid Table 7 Colorful - Accent 2"/>
    <w:basedOn w:val="6"/>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2">
    <w:name w:val="Grid Table 7 Colorful - Accent 3"/>
    <w:basedOn w:val="6"/>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3">
    <w:name w:val="Grid Table 7 Colorful - Accent 4"/>
    <w:basedOn w:val="6"/>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4">
    <w:name w:val="Grid Table 7 Colorful - Accent 5"/>
    <w:basedOn w:val="6"/>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5">
    <w:name w:val="Grid Table 7 Colorful - Accent 6"/>
    <w:basedOn w:val="6"/>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6">
    <w:name w:val="Tabela de Lista 1 Clara1"/>
    <w:basedOn w:val="6"/>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7">
    <w:name w:val="List Table 1 Light - Accent 1"/>
    <w:basedOn w:val="6"/>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8">
    <w:name w:val="List Table 1 Light - Accent 2"/>
    <w:basedOn w:val="6"/>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9">
    <w:name w:val="List Table 1 Light - Accent 3"/>
    <w:basedOn w:val="6"/>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20">
    <w:name w:val="List Table 1 Light - Accent 4"/>
    <w:basedOn w:val="6"/>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1">
    <w:name w:val="List Table 1 Light - Accent 5"/>
    <w:basedOn w:val="6"/>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2">
    <w:name w:val="List Table 1 Light - Accent 6"/>
    <w:basedOn w:val="6"/>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3">
    <w:name w:val="Tabela de Lista 21"/>
    <w:basedOn w:val="6"/>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4">
    <w:name w:val="List Table 2 - Accent 1"/>
    <w:basedOn w:val="6"/>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5">
    <w:name w:val="List Table 2 - Accent 2"/>
    <w:basedOn w:val="6"/>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6">
    <w:name w:val="List Table 2 - Accent 3"/>
    <w:basedOn w:val="6"/>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7">
    <w:name w:val="List Table 2 - Accent 4"/>
    <w:basedOn w:val="6"/>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8">
    <w:name w:val="List Table 2 - Accent 5"/>
    <w:basedOn w:val="6"/>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9">
    <w:name w:val="List Table 2 - Accent 6"/>
    <w:basedOn w:val="6"/>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30">
    <w:name w:val="Tabela de Lista 31"/>
    <w:basedOn w:val="6"/>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1">
    <w:name w:val="List Table 3 - Accent 1"/>
    <w:basedOn w:val="6"/>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2">
    <w:name w:val="List Table 3 - Accent 2"/>
    <w:basedOn w:val="6"/>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3">
    <w:name w:val="List Table 3 - Accent 3"/>
    <w:basedOn w:val="6"/>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4">
    <w:name w:val="List Table 3 - Accent 4"/>
    <w:basedOn w:val="6"/>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5">
    <w:name w:val="List Table 3 - Accent 5"/>
    <w:basedOn w:val="6"/>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6">
    <w:name w:val="List Table 3 - Accent 6"/>
    <w:basedOn w:val="6"/>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7">
    <w:name w:val="Tabela de Lista 41"/>
    <w:basedOn w:val="6"/>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8">
    <w:name w:val="List Table 4 - Accent 1"/>
    <w:basedOn w:val="6"/>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9">
    <w:name w:val="List Table 4 - Accent 2"/>
    <w:basedOn w:val="6"/>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40">
    <w:name w:val="List Table 4 - Accent 3"/>
    <w:basedOn w:val="6"/>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1">
    <w:name w:val="List Table 4 - Accent 4"/>
    <w:basedOn w:val="6"/>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2">
    <w:name w:val="List Table 4 - Accent 5"/>
    <w:basedOn w:val="6"/>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3">
    <w:name w:val="List Table 4 - Accent 6"/>
    <w:basedOn w:val="6"/>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4">
    <w:name w:val="Tabela de Lista 5 Escura1"/>
    <w:basedOn w:val="6"/>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5">
    <w:name w:val="List Table 5 Dark - Accent 1"/>
    <w:basedOn w:val="6"/>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6">
    <w:name w:val="List Table 5 Dark - Accent 2"/>
    <w:basedOn w:val="6"/>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7">
    <w:name w:val="List Table 5 Dark - Accent 3"/>
    <w:basedOn w:val="6"/>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8">
    <w:name w:val="List Table 5 Dark - Accent 4"/>
    <w:basedOn w:val="6"/>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9">
    <w:name w:val="List Table 5 Dark - Accent 5"/>
    <w:basedOn w:val="6"/>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50">
    <w:name w:val="List Table 5 Dark - Accent 6"/>
    <w:basedOn w:val="6"/>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1">
    <w:name w:val="Tabela de Lista 6 Colorida1"/>
    <w:basedOn w:val="6"/>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2">
    <w:name w:val="List Table 6 Colorful - Accent 1"/>
    <w:basedOn w:val="6"/>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3">
    <w:name w:val="List Table 6 Colorful - Accent 2"/>
    <w:basedOn w:val="6"/>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4">
    <w:name w:val="List Table 6 Colorful - Accent 3"/>
    <w:basedOn w:val="6"/>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5">
    <w:name w:val="List Table 6 Colorful - Accent 4"/>
    <w:basedOn w:val="6"/>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6">
    <w:name w:val="List Table 6 Colorful - Accent 5"/>
    <w:basedOn w:val="6"/>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7">
    <w:name w:val="List Table 6 Colorful - Accent 6"/>
    <w:basedOn w:val="6"/>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8">
    <w:name w:val="Tabela de Lista 7 Colorida1"/>
    <w:basedOn w:val="6"/>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9">
    <w:name w:val="List Table 7 Colorful - Accent 1"/>
    <w:basedOn w:val="6"/>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60">
    <w:name w:val="List Table 7 Colorful - Accent 2"/>
    <w:basedOn w:val="6"/>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1">
    <w:name w:val="List Table 7 Colorful - Accent 3"/>
    <w:basedOn w:val="6"/>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2">
    <w:name w:val="List Table 7 Colorful - Accent 4"/>
    <w:basedOn w:val="6"/>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3">
    <w:name w:val="List Table 7 Colorful - Accent 5"/>
    <w:basedOn w:val="6"/>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4">
    <w:name w:val="List Table 7 Colorful - Accent 6"/>
    <w:basedOn w:val="6"/>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5">
    <w:name w:val="Lined - Accent"/>
    <w:basedOn w:val="6"/>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6">
    <w:name w:val="Lined - Accent 1"/>
    <w:basedOn w:val="6"/>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7">
    <w:name w:val="Lined - Accent 2"/>
    <w:basedOn w:val="6"/>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8">
    <w:name w:val="Lined - Accent 3"/>
    <w:basedOn w:val="6"/>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9">
    <w:name w:val="Lined - Accent 4"/>
    <w:basedOn w:val="6"/>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0">
    <w:name w:val="Lined - Accent 5"/>
    <w:basedOn w:val="6"/>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1">
    <w:name w:val="Lined - Accent 6"/>
    <w:basedOn w:val="6"/>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2">
    <w:name w:val="Bordered &amp; Lined - Accent"/>
    <w:basedOn w:val="6"/>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3">
    <w:name w:val="Bordered &amp; Lined - Accent 1"/>
    <w:basedOn w:val="6"/>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4">
    <w:name w:val="Bordered &amp; Lined - Accent 2"/>
    <w:basedOn w:val="6"/>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5">
    <w:name w:val="Bordered &amp; Lined - Accent 3"/>
    <w:basedOn w:val="6"/>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6">
    <w:name w:val="Bordered &amp; Lined - Accent 4"/>
    <w:basedOn w:val="6"/>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7">
    <w:name w:val="Bordered &amp; Lined - Accent 5"/>
    <w:basedOn w:val="6"/>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8">
    <w:name w:val="Bordered &amp; Lined - Accent 6"/>
    <w:basedOn w:val="6"/>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9">
    <w:name w:val="Bordered"/>
    <w:basedOn w:val="6"/>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80">
    <w:name w:val="Bordered - Accent 1"/>
    <w:basedOn w:val="6"/>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1">
    <w:name w:val="Bordered - Accent 2"/>
    <w:basedOn w:val="6"/>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2">
    <w:name w:val="Bordered - Accent 3"/>
    <w:basedOn w:val="6"/>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3">
    <w:name w:val="Bordered - Accent 4"/>
    <w:basedOn w:val="6"/>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4">
    <w:name w:val="Bordered - Accent 5"/>
    <w:basedOn w:val="6"/>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5">
    <w:name w:val="Bordered - Accent 6"/>
    <w:basedOn w:val="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6">
    <w:name w:val="Footnote Text Char"/>
    <w:autoRedefine/>
    <w:qFormat/>
    <w:uiPriority w:val="99"/>
    <w:rPr>
      <w:sz w:val="18"/>
    </w:rPr>
  </w:style>
  <w:style w:type="character" w:customStyle="1" w:styleId="187">
    <w:name w:val="Endnote Text Char"/>
    <w:autoRedefine/>
    <w:qFormat/>
    <w:uiPriority w:val="99"/>
    <w:rPr>
      <w:sz w:val="20"/>
    </w:rPr>
  </w:style>
  <w:style w:type="paragraph" w:customStyle="1" w:styleId="188">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9">
    <w:name w:val="Título 11"/>
    <w:basedOn w:val="1"/>
    <w:next w:val="1"/>
    <w:autoRedefine/>
    <w:qFormat/>
    <w:uiPriority w:val="0"/>
    <w:pPr>
      <w:keepNext/>
      <w:spacing w:before="240" w:after="60"/>
      <w:outlineLvl w:val="0"/>
    </w:pPr>
    <w:rPr>
      <w:rFonts w:ascii="Arial" w:hAnsi="Arial" w:cs="Arial"/>
      <w:b/>
      <w:bCs/>
      <w:sz w:val="32"/>
      <w:szCs w:val="32"/>
    </w:rPr>
  </w:style>
  <w:style w:type="paragraph" w:customStyle="1" w:styleId="190">
    <w:name w:val="Título 21"/>
    <w:basedOn w:val="1"/>
    <w:next w:val="1"/>
    <w:link w:val="197"/>
    <w:autoRedefine/>
    <w:qFormat/>
    <w:uiPriority w:val="0"/>
    <w:pPr>
      <w:keepNext/>
      <w:jc w:val="center"/>
      <w:outlineLvl w:val="1"/>
    </w:pPr>
    <w:rPr>
      <w:b/>
      <w:bCs/>
    </w:rPr>
  </w:style>
  <w:style w:type="paragraph" w:customStyle="1" w:styleId="191">
    <w:name w:val="Título 31"/>
    <w:basedOn w:val="1"/>
    <w:next w:val="1"/>
    <w:link w:val="198"/>
    <w:autoRedefine/>
    <w:qFormat/>
    <w:uiPriority w:val="0"/>
    <w:pPr>
      <w:keepNext/>
      <w:spacing w:before="240" w:after="60"/>
      <w:outlineLvl w:val="2"/>
    </w:pPr>
    <w:rPr>
      <w:rFonts w:ascii="Arial" w:hAnsi="Arial" w:cs="Arial"/>
      <w:b/>
      <w:bCs/>
      <w:sz w:val="26"/>
      <w:szCs w:val="26"/>
    </w:rPr>
  </w:style>
  <w:style w:type="paragraph" w:customStyle="1" w:styleId="192">
    <w:name w:val="Título 41"/>
    <w:next w:val="1"/>
    <w:link w:val="291"/>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3">
    <w:name w:val="Título 51"/>
    <w:basedOn w:val="1"/>
    <w:next w:val="1"/>
    <w:link w:val="292"/>
    <w:autoRedefine/>
    <w:qFormat/>
    <w:uiPriority w:val="0"/>
    <w:pPr>
      <w:spacing w:before="240" w:after="60"/>
      <w:outlineLvl w:val="4"/>
    </w:pPr>
    <w:rPr>
      <w:b/>
      <w:bCs/>
      <w:i/>
      <w:iCs/>
      <w:sz w:val="26"/>
      <w:szCs w:val="26"/>
    </w:rPr>
  </w:style>
  <w:style w:type="paragraph" w:customStyle="1" w:styleId="194">
    <w:name w:val="Título 61"/>
    <w:basedOn w:val="1"/>
    <w:next w:val="1"/>
    <w:link w:val="293"/>
    <w:autoRedefine/>
    <w:qFormat/>
    <w:uiPriority w:val="0"/>
    <w:pPr>
      <w:spacing w:before="240" w:after="60"/>
      <w:outlineLvl w:val="5"/>
    </w:pPr>
    <w:rPr>
      <w:b/>
      <w:bCs/>
      <w:sz w:val="22"/>
      <w:szCs w:val="22"/>
    </w:rPr>
  </w:style>
  <w:style w:type="paragraph" w:customStyle="1" w:styleId="195">
    <w:name w:val="Título 71"/>
    <w:basedOn w:val="1"/>
    <w:next w:val="1"/>
    <w:link w:val="294"/>
    <w:autoRedefine/>
    <w:qFormat/>
    <w:uiPriority w:val="0"/>
    <w:pPr>
      <w:spacing w:before="240" w:after="60"/>
      <w:outlineLvl w:val="6"/>
    </w:pPr>
  </w:style>
  <w:style w:type="character" w:customStyle="1" w:styleId="196">
    <w:name w:val="Título 1 Char"/>
    <w:basedOn w:val="5"/>
    <w:link w:val="2"/>
    <w:autoRedefine/>
    <w:qFormat/>
    <w:uiPriority w:val="9"/>
    <w:rPr>
      <w:rFonts w:asciiTheme="majorHAnsi" w:hAnsiTheme="majorHAnsi" w:eastAsiaTheme="majorEastAsia" w:cstheme="majorBidi"/>
      <w:b/>
      <w:bCs/>
      <w:color w:val="376092" w:themeColor="accent1" w:themeShade="BF"/>
      <w:sz w:val="28"/>
      <w:szCs w:val="28"/>
      <w:lang w:eastAsia="en-US"/>
    </w:rPr>
  </w:style>
  <w:style w:type="character" w:customStyle="1" w:styleId="197">
    <w:name w:val="Título 2 Char"/>
    <w:basedOn w:val="5"/>
    <w:link w:val="190"/>
    <w:autoRedefine/>
    <w:qFormat/>
    <w:uiPriority w:val="99"/>
    <w:rPr>
      <w:rFonts w:ascii="Times New Roman" w:hAnsi="Times New Roman" w:eastAsia="Times New Roman" w:cs="Times New Roman"/>
      <w:b/>
      <w:bCs/>
      <w:sz w:val="24"/>
      <w:szCs w:val="24"/>
      <w:lang w:eastAsia="pt-BR"/>
    </w:rPr>
  </w:style>
  <w:style w:type="character" w:customStyle="1" w:styleId="198">
    <w:name w:val="Título 3 Char"/>
    <w:basedOn w:val="5"/>
    <w:link w:val="191"/>
    <w:autoRedefine/>
    <w:qFormat/>
    <w:uiPriority w:val="99"/>
    <w:rPr>
      <w:rFonts w:ascii="Arial" w:hAnsi="Arial" w:eastAsia="Times New Roman" w:cs="Arial"/>
      <w:b/>
      <w:bCs/>
      <w:sz w:val="26"/>
      <w:szCs w:val="26"/>
      <w:lang w:eastAsia="pt-BR"/>
    </w:rPr>
  </w:style>
  <w:style w:type="paragraph" w:customStyle="1" w:styleId="199">
    <w:name w:val="WW-Corpo de texto 2"/>
    <w:basedOn w:val="1"/>
    <w:autoRedefine/>
    <w:qFormat/>
    <w:uiPriority w:val="99"/>
    <w:pPr>
      <w:widowControl w:val="0"/>
      <w:tabs>
        <w:tab w:val="left" w:pos="5954"/>
      </w:tabs>
      <w:jc w:val="both"/>
    </w:pPr>
    <w:rPr>
      <w:sz w:val="20"/>
      <w:szCs w:val="20"/>
    </w:rPr>
  </w:style>
  <w:style w:type="character" w:customStyle="1" w:styleId="200">
    <w:name w:val="Corpo de texto Char"/>
    <w:basedOn w:val="5"/>
    <w:link w:val="16"/>
    <w:autoRedefine/>
    <w:qFormat/>
    <w:uiPriority w:val="0"/>
    <w:rPr>
      <w:rFonts w:ascii="Times New Roman" w:hAnsi="Times New Roman" w:eastAsia="Times New Roman" w:cs="Times New Roman"/>
      <w:b/>
      <w:bCs/>
      <w:sz w:val="24"/>
      <w:szCs w:val="24"/>
      <w:lang w:eastAsia="pt-BR"/>
    </w:rPr>
  </w:style>
  <w:style w:type="paragraph" w:customStyle="1" w:styleId="201">
    <w:name w:val="Cabeçalho1"/>
    <w:basedOn w:val="1"/>
    <w:link w:val="202"/>
    <w:autoRedefine/>
    <w:qFormat/>
    <w:uiPriority w:val="99"/>
    <w:pPr>
      <w:tabs>
        <w:tab w:val="center" w:pos="4252"/>
        <w:tab w:val="right" w:pos="8504"/>
      </w:tabs>
    </w:pPr>
  </w:style>
  <w:style w:type="character" w:customStyle="1" w:styleId="202">
    <w:name w:val="Cabeçalho Char"/>
    <w:basedOn w:val="5"/>
    <w:link w:val="201"/>
    <w:autoRedefine/>
    <w:qFormat/>
    <w:uiPriority w:val="99"/>
    <w:rPr>
      <w:rFonts w:ascii="Times New Roman" w:hAnsi="Times New Roman" w:eastAsia="Times New Roman" w:cs="Times New Roman"/>
      <w:sz w:val="24"/>
      <w:szCs w:val="24"/>
      <w:lang w:eastAsia="pt-BR"/>
    </w:rPr>
  </w:style>
  <w:style w:type="paragraph" w:customStyle="1" w:styleId="203">
    <w:name w:val="Rodapé1"/>
    <w:basedOn w:val="1"/>
    <w:link w:val="204"/>
    <w:autoRedefine/>
    <w:qFormat/>
    <w:uiPriority w:val="99"/>
    <w:pPr>
      <w:tabs>
        <w:tab w:val="center" w:pos="4252"/>
        <w:tab w:val="right" w:pos="8504"/>
      </w:tabs>
    </w:pPr>
  </w:style>
  <w:style w:type="character" w:customStyle="1" w:styleId="204">
    <w:name w:val="Rodapé Char"/>
    <w:basedOn w:val="5"/>
    <w:link w:val="203"/>
    <w:autoRedefine/>
    <w:qFormat/>
    <w:uiPriority w:val="99"/>
    <w:rPr>
      <w:rFonts w:ascii="Times New Roman" w:hAnsi="Times New Roman" w:eastAsia="Times New Roman" w:cs="Times New Roman"/>
      <w:sz w:val="24"/>
      <w:szCs w:val="24"/>
      <w:lang w:eastAsia="pt-BR"/>
    </w:rPr>
  </w:style>
  <w:style w:type="character" w:customStyle="1" w:styleId="205">
    <w:name w:val="Texto de balão Char"/>
    <w:basedOn w:val="5"/>
    <w:link w:val="35"/>
    <w:autoRedefine/>
    <w:qFormat/>
    <w:uiPriority w:val="0"/>
    <w:rPr>
      <w:rFonts w:ascii="Tahoma" w:hAnsi="Tahoma" w:eastAsia="Times New Roman" w:cs="Tahoma"/>
      <w:sz w:val="16"/>
      <w:szCs w:val="16"/>
      <w:lang w:eastAsia="pt-BR"/>
    </w:rPr>
  </w:style>
  <w:style w:type="character" w:customStyle="1" w:styleId="206">
    <w:name w:val="Corpo de texto 3 Char"/>
    <w:basedOn w:val="5"/>
    <w:link w:val="26"/>
    <w:autoRedefine/>
    <w:qFormat/>
    <w:uiPriority w:val="99"/>
    <w:rPr>
      <w:rFonts w:ascii="Times New Roman" w:hAnsi="Times New Roman" w:eastAsia="Times New Roman" w:cs="Times New Roman"/>
      <w:sz w:val="16"/>
      <w:szCs w:val="16"/>
      <w:lang w:eastAsia="pt-BR"/>
    </w:rPr>
  </w:style>
  <w:style w:type="character" w:customStyle="1" w:styleId="207">
    <w:name w:val="Título Char"/>
    <w:basedOn w:val="5"/>
    <w:link w:val="21"/>
    <w:autoRedefine/>
    <w:qFormat/>
    <w:uiPriority w:val="99"/>
    <w:rPr>
      <w:rFonts w:ascii="Times New Roman" w:hAnsi="Times New Roman" w:eastAsia="Times New Roman" w:cs="Times New Roman"/>
      <w:b/>
      <w:bCs/>
      <w:sz w:val="40"/>
      <w:szCs w:val="24"/>
      <w:lang w:eastAsia="pt-BR"/>
    </w:rPr>
  </w:style>
  <w:style w:type="character" w:customStyle="1" w:styleId="208">
    <w:name w:val="tex3"/>
    <w:basedOn w:val="5"/>
    <w:autoRedefine/>
    <w:qFormat/>
    <w:uiPriority w:val="0"/>
    <w:rPr>
      <w:rFonts w:cs="Times New Roman"/>
    </w:rPr>
  </w:style>
  <w:style w:type="character" w:customStyle="1" w:styleId="209">
    <w:name w:val="tex31"/>
    <w:basedOn w:val="5"/>
    <w:autoRedefine/>
    <w:qFormat/>
    <w:uiPriority w:val="99"/>
    <w:rPr>
      <w:rFonts w:ascii="Verdana" w:hAnsi="Verdana" w:cs="Times New Roman"/>
      <w:color w:val="000000"/>
      <w:sz w:val="11"/>
      <w:szCs w:val="11"/>
    </w:rPr>
  </w:style>
  <w:style w:type="character" w:customStyle="1" w:styleId="210">
    <w:name w:val="Corpo de texto 2 Char"/>
    <w:basedOn w:val="5"/>
    <w:link w:val="28"/>
    <w:autoRedefine/>
    <w:qFormat/>
    <w:uiPriority w:val="99"/>
    <w:rPr>
      <w:rFonts w:ascii="Times New Roman" w:hAnsi="Times New Roman" w:eastAsia="Times New Roman" w:cs="Times New Roman"/>
      <w:sz w:val="24"/>
      <w:szCs w:val="24"/>
      <w:lang w:eastAsia="pt-BR"/>
    </w:rPr>
  </w:style>
  <w:style w:type="character" w:customStyle="1" w:styleId="211">
    <w:name w:val="apple-style-span"/>
    <w:basedOn w:val="5"/>
    <w:autoRedefine/>
    <w:qFormat/>
    <w:uiPriority w:val="99"/>
    <w:rPr>
      <w:rFonts w:cs="Times New Roman"/>
    </w:rPr>
  </w:style>
  <w:style w:type="character" w:customStyle="1" w:styleId="212">
    <w:name w:val="color1"/>
    <w:basedOn w:val="5"/>
    <w:autoRedefine/>
    <w:qFormat/>
    <w:uiPriority w:val="99"/>
    <w:rPr>
      <w:rFonts w:ascii="Arial" w:hAnsi="Arial" w:cs="Arial"/>
      <w:color w:val="000000"/>
    </w:rPr>
  </w:style>
  <w:style w:type="character" w:customStyle="1" w:styleId="213">
    <w:name w:val="glossario1"/>
    <w:basedOn w:val="5"/>
    <w:autoRedefine/>
    <w:qFormat/>
    <w:uiPriority w:val="99"/>
    <w:rPr>
      <w:rFonts w:cs="Times New Roman"/>
      <w:b/>
      <w:bCs/>
      <w:color w:val="333333"/>
      <w:u w:val="single"/>
    </w:rPr>
  </w:style>
  <w:style w:type="character" w:customStyle="1" w:styleId="214">
    <w:name w:val="apple-converted-space"/>
    <w:basedOn w:val="5"/>
    <w:autoRedefine/>
    <w:qFormat/>
    <w:uiPriority w:val="0"/>
    <w:rPr>
      <w:rFonts w:cs="Times New Roman"/>
    </w:rPr>
  </w:style>
  <w:style w:type="character" w:customStyle="1" w:styleId="215">
    <w:name w:val="glossario-class"/>
    <w:basedOn w:val="5"/>
    <w:autoRedefine/>
    <w:qFormat/>
    <w:uiPriority w:val="99"/>
    <w:rPr>
      <w:rFonts w:cs="Times New Roman"/>
    </w:rPr>
  </w:style>
  <w:style w:type="character" w:customStyle="1" w:styleId="216">
    <w:name w:val="estdescrprod1"/>
    <w:basedOn w:val="5"/>
    <w:autoRedefine/>
    <w:qFormat/>
    <w:uiPriority w:val="99"/>
    <w:rPr>
      <w:rFonts w:ascii="Tahoma" w:hAnsi="Tahoma" w:cs="Tahoma"/>
      <w:color w:val="333333"/>
      <w:sz w:val="18"/>
      <w:szCs w:val="18"/>
    </w:rPr>
  </w:style>
  <w:style w:type="paragraph" w:customStyle="1" w:styleId="217">
    <w:name w:val="texto"/>
    <w:basedOn w:val="1"/>
    <w:autoRedefine/>
    <w:qFormat/>
    <w:uiPriority w:val="99"/>
    <w:pPr>
      <w:spacing w:before="100" w:beforeAutospacing="1" w:after="100" w:afterAutospacing="1"/>
    </w:pPr>
  </w:style>
  <w:style w:type="character" w:customStyle="1" w:styleId="218">
    <w:name w:val="txtproduto"/>
    <w:basedOn w:val="5"/>
    <w:autoRedefine/>
    <w:qFormat/>
    <w:uiPriority w:val="99"/>
    <w:rPr>
      <w:rFonts w:cs="Times New Roman"/>
    </w:rPr>
  </w:style>
  <w:style w:type="paragraph" w:customStyle="1" w:styleId="219">
    <w:name w:val="List Paragraph1"/>
    <w:basedOn w:val="1"/>
    <w:autoRedefine/>
    <w:qFormat/>
    <w:uiPriority w:val="99"/>
    <w:pPr>
      <w:ind w:left="720"/>
      <w:contextualSpacing/>
    </w:pPr>
  </w:style>
  <w:style w:type="paragraph" w:customStyle="1" w:styleId="220">
    <w:name w:val="western"/>
    <w:basedOn w:val="1"/>
    <w:autoRedefine/>
    <w:qFormat/>
    <w:uiPriority w:val="99"/>
    <w:pPr>
      <w:spacing w:before="100" w:beforeAutospacing="1" w:after="119"/>
    </w:pPr>
  </w:style>
  <w:style w:type="paragraph" w:customStyle="1" w:styleId="221">
    <w:name w:val="Default"/>
    <w:autoRedefine/>
    <w:qFormat/>
    <w:uiPriority w:val="0"/>
    <w:rPr>
      <w:rFonts w:ascii="Arial" w:hAnsi="Arial" w:eastAsia="Times New Roman" w:cs="Arial"/>
      <w:color w:val="000000"/>
      <w:sz w:val="24"/>
      <w:szCs w:val="24"/>
      <w:lang w:val="pt-BR" w:eastAsia="pt-BR" w:bidi="ar-SA"/>
    </w:rPr>
  </w:style>
  <w:style w:type="paragraph" w:styleId="222">
    <w:name w:val="List Paragraph"/>
    <w:basedOn w:val="1"/>
    <w:autoRedefine/>
    <w:qFormat/>
    <w:uiPriority w:val="34"/>
    <w:pPr>
      <w:ind w:left="720"/>
      <w:contextualSpacing/>
    </w:pPr>
  </w:style>
  <w:style w:type="character" w:customStyle="1" w:styleId="223">
    <w:name w:val="Texto de nota de rodapé Char"/>
    <w:basedOn w:val="5"/>
    <w:link w:val="37"/>
    <w:autoRedefine/>
    <w:semiHidden/>
    <w:qFormat/>
    <w:uiPriority w:val="99"/>
    <w:rPr>
      <w:rFonts w:ascii="Times New Roman" w:hAnsi="Times New Roman" w:eastAsia="Times New Roman" w:cs="Times New Roman"/>
      <w:sz w:val="20"/>
      <w:szCs w:val="20"/>
      <w:lang w:eastAsia="pt-BR"/>
    </w:rPr>
  </w:style>
  <w:style w:type="table" w:customStyle="1" w:styleId="224">
    <w:name w:val="Sombreamento Claro1"/>
    <w:basedOn w:val="6"/>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5">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6">
    <w:name w:val="Texto de nota de fim Char"/>
    <w:basedOn w:val="5"/>
    <w:link w:val="22"/>
    <w:autoRedefine/>
    <w:semiHidden/>
    <w:qFormat/>
    <w:uiPriority w:val="99"/>
    <w:rPr>
      <w:rFonts w:ascii="Times New Roman" w:hAnsi="Times New Roman" w:eastAsia="Times New Roman" w:cs="Times New Roman"/>
      <w:sz w:val="20"/>
      <w:szCs w:val="20"/>
      <w:lang w:eastAsia="pt-BR"/>
    </w:rPr>
  </w:style>
  <w:style w:type="paragraph" w:customStyle="1" w:styleId="227">
    <w:name w:val="ec_msonormal"/>
    <w:basedOn w:val="1"/>
    <w:autoRedefine/>
    <w:qFormat/>
    <w:uiPriority w:val="0"/>
    <w:pPr>
      <w:spacing w:after="324"/>
    </w:pPr>
  </w:style>
  <w:style w:type="paragraph" w:customStyle="1" w:styleId="228">
    <w:name w:val="WW-Corpo de texto 3"/>
    <w:basedOn w:val="1"/>
    <w:autoRedefine/>
    <w:qFormat/>
    <w:uiPriority w:val="0"/>
    <w:pPr>
      <w:widowControl w:val="0"/>
      <w:jc w:val="both"/>
    </w:pPr>
    <w:rPr>
      <w:rFonts w:ascii="Arial" w:hAnsi="Arial" w:eastAsia="Tahoma" w:cs="Arial"/>
      <w:b/>
      <w:sz w:val="20"/>
      <w:szCs w:val="20"/>
    </w:rPr>
  </w:style>
  <w:style w:type="paragraph" w:customStyle="1" w:styleId="229">
    <w:name w:val="Sem Espaçamento1"/>
    <w:autoRedefine/>
    <w:qFormat/>
    <w:uiPriority w:val="0"/>
    <w:rPr>
      <w:rFonts w:ascii="Calibri" w:hAnsi="Calibri" w:eastAsia="Times New Roman" w:cs="Times New Roman"/>
      <w:sz w:val="22"/>
      <w:szCs w:val="22"/>
      <w:lang w:val="pt-BR" w:eastAsia="en-US" w:bidi="ar-SA"/>
    </w:rPr>
  </w:style>
  <w:style w:type="paragraph" w:customStyle="1" w:styleId="230">
    <w:name w:val="Sem Espaçamento2"/>
    <w:autoRedefine/>
    <w:qFormat/>
    <w:uiPriority w:val="0"/>
    <w:rPr>
      <w:rFonts w:ascii="Calibri" w:hAnsi="Calibri" w:eastAsia="Times New Roman" w:cs="Times New Roman"/>
      <w:sz w:val="22"/>
      <w:szCs w:val="22"/>
      <w:lang w:val="pt-BR" w:eastAsia="en-US" w:bidi="ar-SA"/>
    </w:rPr>
  </w:style>
  <w:style w:type="character" w:customStyle="1" w:styleId="231">
    <w:name w:val="Referência Sutil1"/>
    <w:basedOn w:val="5"/>
    <w:autoRedefine/>
    <w:qFormat/>
    <w:uiPriority w:val="31"/>
    <w:rPr>
      <w:smallCaps/>
      <w:color w:val="C0504D" w:themeColor="accent2"/>
      <w:u w:val="single"/>
      <w14:textFill>
        <w14:solidFill>
          <w14:schemeClr w14:val="accent2"/>
        </w14:solidFill>
      </w14:textFill>
    </w:rPr>
  </w:style>
  <w:style w:type="paragraph" w:customStyle="1" w:styleId="232">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3">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4">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5">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6">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7">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8">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9">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0">
    <w:name w:val="xl71"/>
    <w:basedOn w:val="1"/>
    <w:autoRedefine/>
    <w:qFormat/>
    <w:uiPriority w:val="0"/>
    <w:pPr>
      <w:spacing w:before="100" w:beforeAutospacing="1" w:after="100" w:afterAutospacing="1"/>
    </w:pPr>
    <w:rPr>
      <w:rFonts w:ascii="Arial" w:hAnsi="Arial" w:cs="Arial"/>
      <w:sz w:val="16"/>
      <w:szCs w:val="16"/>
    </w:rPr>
  </w:style>
  <w:style w:type="paragraph" w:customStyle="1" w:styleId="241">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2">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3">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4">
    <w:name w:val="xl75"/>
    <w:basedOn w:val="1"/>
    <w:autoRedefine/>
    <w:qFormat/>
    <w:uiPriority w:val="0"/>
    <w:pPr>
      <w:spacing w:before="100" w:beforeAutospacing="1" w:after="100" w:afterAutospacing="1"/>
    </w:pPr>
    <w:rPr>
      <w:rFonts w:ascii="Arial" w:hAnsi="Arial" w:cs="Arial"/>
      <w:sz w:val="16"/>
      <w:szCs w:val="16"/>
    </w:rPr>
  </w:style>
  <w:style w:type="paragraph" w:customStyle="1" w:styleId="245">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6">
    <w:name w:val="xl77"/>
    <w:basedOn w:val="1"/>
    <w:autoRedefine/>
    <w:qFormat/>
    <w:uiPriority w:val="0"/>
    <w:pPr>
      <w:spacing w:before="100" w:beforeAutospacing="1" w:after="100" w:afterAutospacing="1"/>
    </w:pPr>
    <w:rPr>
      <w:rFonts w:ascii="Arial" w:hAnsi="Arial" w:cs="Arial"/>
      <w:sz w:val="16"/>
      <w:szCs w:val="16"/>
    </w:rPr>
  </w:style>
  <w:style w:type="paragraph" w:customStyle="1" w:styleId="247">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8">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9">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50">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1">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2">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3">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4">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5">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6">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7">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9">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60">
    <w:name w:val="xl91"/>
    <w:basedOn w:val="1"/>
    <w:autoRedefine/>
    <w:qFormat/>
    <w:uiPriority w:val="0"/>
    <w:pPr>
      <w:spacing w:before="100" w:beforeAutospacing="1" w:after="100" w:afterAutospacing="1"/>
    </w:pPr>
    <w:rPr>
      <w:rFonts w:ascii="Arial" w:hAnsi="Arial" w:cs="Arial"/>
      <w:sz w:val="16"/>
      <w:szCs w:val="16"/>
    </w:rPr>
  </w:style>
  <w:style w:type="paragraph" w:customStyle="1" w:styleId="261">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2">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3">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4">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5">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6">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7">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8">
    <w:name w:val="description__descriptionui-xdq6yf-0"/>
    <w:basedOn w:val="5"/>
    <w:autoRedefine/>
    <w:qFormat/>
    <w:uiPriority w:val="0"/>
  </w:style>
  <w:style w:type="character" w:customStyle="1" w:styleId="269">
    <w:name w:val="Link da Internet"/>
    <w:autoRedefine/>
    <w:qFormat/>
    <w:uiPriority w:val="0"/>
    <w:rPr>
      <w:color w:val="000080"/>
      <w:u w:val="single"/>
    </w:rPr>
  </w:style>
  <w:style w:type="paragraph" w:customStyle="1" w:styleId="270">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71">
    <w:name w:val="11"/>
    <w:basedOn w:val="1"/>
    <w:autoRedefine/>
    <w:qFormat/>
    <w:uiPriority w:val="0"/>
    <w:pPr>
      <w:widowControl w:val="0"/>
      <w:ind w:left="1701" w:hanging="850"/>
      <w:jc w:val="both"/>
    </w:pPr>
    <w:rPr>
      <w:sz w:val="20"/>
      <w:szCs w:val="20"/>
    </w:rPr>
  </w:style>
  <w:style w:type="paragraph" w:customStyle="1" w:styleId="272">
    <w:name w:val="Body Text 21"/>
    <w:basedOn w:val="1"/>
    <w:autoRedefine/>
    <w:qFormat/>
    <w:uiPriority w:val="0"/>
    <w:pPr>
      <w:widowControl w:val="0"/>
      <w:jc w:val="both"/>
    </w:pPr>
    <w:rPr>
      <w:sz w:val="20"/>
      <w:szCs w:val="20"/>
    </w:rPr>
  </w:style>
  <w:style w:type="paragraph" w:customStyle="1" w:styleId="273">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4">
    <w:name w:val="Recuo de corpo de texto 21"/>
    <w:basedOn w:val="1"/>
    <w:autoRedefine/>
    <w:qFormat/>
    <w:uiPriority w:val="0"/>
    <w:pPr>
      <w:widowControl w:val="0"/>
      <w:tabs>
        <w:tab w:val="left" w:pos="29778"/>
      </w:tabs>
      <w:spacing w:before="120"/>
      <w:ind w:left="709" w:hanging="709"/>
      <w:jc w:val="both"/>
    </w:pPr>
  </w:style>
  <w:style w:type="paragraph" w:customStyle="1" w:styleId="275">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6">
    <w:name w:val="Cabeçalho11"/>
    <w:basedOn w:val="1"/>
    <w:autoRedefine/>
    <w:qFormat/>
    <w:uiPriority w:val="99"/>
    <w:pPr>
      <w:widowControl w:val="0"/>
      <w:suppressLineNumbers/>
      <w:tabs>
        <w:tab w:val="center" w:pos="4818"/>
        <w:tab w:val="right" w:pos="9637"/>
      </w:tabs>
    </w:pPr>
  </w:style>
  <w:style w:type="paragraph" w:customStyle="1" w:styleId="277">
    <w:name w:val="WW-Texto simples"/>
    <w:basedOn w:val="1"/>
    <w:autoRedefine/>
    <w:qFormat/>
    <w:uiPriority w:val="0"/>
    <w:rPr>
      <w:rFonts w:ascii="Courier New" w:hAnsi="Courier New"/>
      <w:sz w:val="20"/>
      <w:szCs w:val="20"/>
    </w:rPr>
  </w:style>
  <w:style w:type="paragraph" w:styleId="278">
    <w:name w:val="Quote"/>
    <w:basedOn w:val="1"/>
    <w:next w:val="1"/>
    <w:link w:val="279"/>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9">
    <w:name w:val="Citação Char"/>
    <w:basedOn w:val="5"/>
    <w:link w:val="278"/>
    <w:autoRedefine/>
    <w:qFormat/>
    <w:uiPriority w:val="0"/>
    <w:rPr>
      <w:rFonts w:ascii="Arial" w:hAnsi="Arial" w:eastAsia="Calibri" w:cs="Tahoma"/>
      <w:i/>
      <w:iCs/>
      <w:color w:val="000000"/>
      <w:sz w:val="20"/>
      <w:szCs w:val="24"/>
      <w:shd w:val="clear" w:color="auto" w:fill="FFFFCC"/>
    </w:rPr>
  </w:style>
  <w:style w:type="paragraph" w:customStyle="1" w:styleId="280">
    <w:name w:val="Nivel 01"/>
    <w:basedOn w:val="189"/>
    <w:next w:val="1"/>
    <w:link w:val="282"/>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81">
    <w:name w:val="Pré-formatação HTML Char"/>
    <w:basedOn w:val="5"/>
    <w:link w:val="27"/>
    <w:autoRedefine/>
    <w:qFormat/>
    <w:uiPriority w:val="0"/>
    <w:rPr>
      <w:rFonts w:ascii="Arial Unicode MS" w:hAnsi="Arial Unicode MS" w:eastAsia="Arial Unicode MS" w:cs="Arial Unicode MS"/>
      <w:sz w:val="24"/>
      <w:szCs w:val="24"/>
      <w:lang w:eastAsia="pt-BR"/>
    </w:rPr>
  </w:style>
  <w:style w:type="character" w:customStyle="1" w:styleId="282">
    <w:name w:val="Nivel 01 Char"/>
    <w:basedOn w:val="207"/>
    <w:link w:val="280"/>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3">
    <w:name w:val="Fonte parág. padrão5"/>
    <w:autoRedefine/>
    <w:qFormat/>
    <w:uiPriority w:val="0"/>
  </w:style>
  <w:style w:type="paragraph" w:customStyle="1" w:styleId="284">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5">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6">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7">
    <w:name w:val="Placeholder Text"/>
    <w:basedOn w:val="5"/>
    <w:autoRedefine/>
    <w:semiHidden/>
    <w:qFormat/>
    <w:uiPriority w:val="99"/>
    <w:rPr>
      <w:color w:val="808080"/>
    </w:rPr>
  </w:style>
  <w:style w:type="paragraph" w:customStyle="1" w:styleId="288">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9">
    <w:name w:val="item"/>
    <w:basedOn w:val="1"/>
    <w:autoRedefine/>
    <w:qFormat/>
    <w:uiPriority w:val="0"/>
    <w:pPr>
      <w:spacing w:before="100" w:beforeAutospacing="1" w:after="100" w:afterAutospacing="1"/>
    </w:pPr>
  </w:style>
  <w:style w:type="paragraph" w:customStyle="1" w:styleId="290">
    <w:name w:val="dou-paragraph"/>
    <w:basedOn w:val="1"/>
    <w:autoRedefine/>
    <w:qFormat/>
    <w:uiPriority w:val="0"/>
    <w:pPr>
      <w:spacing w:before="100" w:beforeAutospacing="1" w:after="100" w:afterAutospacing="1"/>
    </w:pPr>
  </w:style>
  <w:style w:type="character" w:customStyle="1" w:styleId="291">
    <w:name w:val="Título 4 Char"/>
    <w:basedOn w:val="5"/>
    <w:link w:val="192"/>
    <w:autoRedefine/>
    <w:semiHidden/>
    <w:qFormat/>
    <w:uiPriority w:val="0"/>
    <w:rPr>
      <w:rFonts w:ascii="SimSun" w:hAnsi="SimSun" w:eastAsia="SimSun" w:cs="Times New Roman"/>
      <w:b/>
      <w:bCs/>
      <w:sz w:val="24"/>
      <w:szCs w:val="24"/>
      <w:lang w:val="en-US" w:eastAsia="zh-CN"/>
    </w:rPr>
  </w:style>
  <w:style w:type="character" w:customStyle="1" w:styleId="292">
    <w:name w:val="Título 5 Char"/>
    <w:basedOn w:val="5"/>
    <w:link w:val="193"/>
    <w:autoRedefine/>
    <w:qFormat/>
    <w:uiPriority w:val="0"/>
    <w:rPr>
      <w:rFonts w:ascii="Times New Roman" w:hAnsi="Times New Roman" w:eastAsia="Times New Roman" w:cs="Times New Roman"/>
      <w:b/>
      <w:bCs/>
      <w:i/>
      <w:iCs/>
      <w:sz w:val="26"/>
      <w:szCs w:val="26"/>
      <w:lang w:eastAsia="pt-BR"/>
    </w:rPr>
  </w:style>
  <w:style w:type="character" w:customStyle="1" w:styleId="293">
    <w:name w:val="Título 6 Char"/>
    <w:basedOn w:val="5"/>
    <w:link w:val="194"/>
    <w:autoRedefine/>
    <w:qFormat/>
    <w:uiPriority w:val="0"/>
    <w:rPr>
      <w:rFonts w:ascii="Times New Roman" w:hAnsi="Times New Roman" w:eastAsia="Times New Roman" w:cs="Times New Roman"/>
      <w:b/>
      <w:bCs/>
      <w:lang w:eastAsia="pt-BR"/>
    </w:rPr>
  </w:style>
  <w:style w:type="character" w:customStyle="1" w:styleId="294">
    <w:name w:val="Título 7 Char"/>
    <w:basedOn w:val="5"/>
    <w:link w:val="195"/>
    <w:autoRedefine/>
    <w:qFormat/>
    <w:uiPriority w:val="0"/>
    <w:rPr>
      <w:rFonts w:ascii="Times New Roman" w:hAnsi="Times New Roman" w:eastAsia="Times New Roman" w:cs="Times New Roman"/>
      <w:sz w:val="24"/>
      <w:szCs w:val="24"/>
      <w:lang w:eastAsia="pt-BR"/>
    </w:rPr>
  </w:style>
  <w:style w:type="character" w:customStyle="1" w:styleId="295">
    <w:name w:val="Recuo de corpo de texto Char"/>
    <w:basedOn w:val="5"/>
    <w:link w:val="39"/>
    <w:autoRedefine/>
    <w:qFormat/>
    <w:uiPriority w:val="0"/>
    <w:rPr>
      <w:rFonts w:ascii="Times New Roman" w:hAnsi="Times New Roman" w:eastAsia="Times New Roman" w:cs="Times New Roman"/>
      <w:color w:val="000000"/>
      <w:sz w:val="28"/>
      <w:szCs w:val="24"/>
      <w:lang w:eastAsia="pt-BR"/>
    </w:rPr>
  </w:style>
  <w:style w:type="character" w:customStyle="1" w:styleId="296">
    <w:name w:val="Recuo de corpo de texto 3 Char"/>
    <w:basedOn w:val="5"/>
    <w:link w:val="33"/>
    <w:autoRedefine/>
    <w:qFormat/>
    <w:uiPriority w:val="0"/>
    <w:rPr>
      <w:rFonts w:ascii="Times New Roman" w:hAnsi="Times New Roman" w:eastAsia="Times New Roman" w:cs="Times New Roman"/>
      <w:sz w:val="16"/>
      <w:szCs w:val="16"/>
      <w:lang w:eastAsia="pt-BR"/>
    </w:rPr>
  </w:style>
  <w:style w:type="paragraph" w:customStyle="1" w:styleId="297">
    <w:name w:val="yiv2657303166msonormal"/>
    <w:basedOn w:val="1"/>
    <w:qFormat/>
    <w:uiPriority w:val="0"/>
    <w:pPr>
      <w:spacing w:before="100" w:beforeAutospacing="1" w:after="100" w:afterAutospacing="1"/>
    </w:pPr>
  </w:style>
  <w:style w:type="character" w:customStyle="1" w:styleId="298">
    <w:name w:val="Cabeçalho Char1"/>
    <w:basedOn w:val="5"/>
    <w:link w:val="29"/>
    <w:autoRedefine/>
    <w:qFormat/>
    <w:uiPriority w:val="99"/>
    <w:rPr>
      <w:rFonts w:ascii="Times New Roman" w:hAnsi="Times New Roman" w:eastAsia="Times New Roman" w:cs="Times New Roman"/>
      <w:sz w:val="24"/>
      <w:szCs w:val="24"/>
      <w:lang w:eastAsia="pt-BR"/>
    </w:rPr>
  </w:style>
  <w:style w:type="character" w:customStyle="1" w:styleId="299">
    <w:name w:val="Rodapé Char1"/>
    <w:basedOn w:val="5"/>
    <w:link w:val="31"/>
    <w:autoRedefine/>
    <w:qFormat/>
    <w:uiPriority w:val="99"/>
    <w:rPr>
      <w:rFonts w:ascii="Times New Roman" w:hAnsi="Times New Roman" w:eastAsia="Times New Roman" w:cs="Times New Roman"/>
      <w:sz w:val="24"/>
      <w:szCs w:val="24"/>
      <w:lang w:eastAsia="pt-BR"/>
    </w:rPr>
  </w:style>
  <w:style w:type="paragraph" w:customStyle="1" w:styleId="300">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1">
    <w:name w:val="font01"/>
    <w:autoRedefine/>
    <w:qFormat/>
    <w:uiPriority w:val="0"/>
    <w:rPr>
      <w:rFonts w:hint="default" w:ascii="Arial" w:hAnsi="Arial" w:cs="Arial"/>
      <w:color w:val="000000"/>
      <w:u w:val="none"/>
    </w:rPr>
  </w:style>
  <w:style w:type="character" w:customStyle="1" w:styleId="302">
    <w:name w:val="font11"/>
    <w:autoRedefine/>
    <w:qFormat/>
    <w:uiPriority w:val="0"/>
    <w:rPr>
      <w:rFonts w:hint="default" w:ascii="Arial" w:hAnsi="Arial" w:cs="Arial"/>
      <w:color w:val="000000"/>
      <w:u w:val="none"/>
    </w:rPr>
  </w:style>
  <w:style w:type="paragraph" w:customStyle="1" w:styleId="303">
    <w:name w:val="Rodapé2"/>
    <w:basedOn w:val="1"/>
    <w:qFormat/>
    <w:uiPriority w:val="99"/>
    <w:pPr>
      <w:tabs>
        <w:tab w:val="center" w:pos="4252"/>
        <w:tab w:val="right" w:pos="8504"/>
      </w:tabs>
    </w:pPr>
  </w:style>
  <w:style w:type="character" w:customStyle="1" w:styleId="304">
    <w:name w:val="Nivel 2 Char"/>
    <w:basedOn w:val="5"/>
    <w:link w:val="305"/>
    <w:autoRedefine/>
    <w:qFormat/>
    <w:locked/>
    <w:uiPriority w:val="0"/>
    <w:rPr>
      <w:rFonts w:ascii="Arial" w:hAnsi="Arial" w:cs="Arial"/>
      <w:color w:val="000000"/>
      <w:lang w:eastAsia="pt-BR"/>
    </w:rPr>
  </w:style>
  <w:style w:type="paragraph" w:customStyle="1" w:styleId="305">
    <w:name w:val="Nivel 2"/>
    <w:basedOn w:val="1"/>
    <w:link w:val="304"/>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6">
    <w:name w:val="Nivel 3"/>
    <w:basedOn w:val="1"/>
    <w:link w:val="309"/>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7">
    <w:name w:val="Nivel 4"/>
    <w:basedOn w:val="306"/>
    <w:link w:val="313"/>
    <w:autoRedefine/>
    <w:qFormat/>
    <w:uiPriority w:val="0"/>
    <w:pPr>
      <w:ind w:left="567"/>
    </w:pPr>
    <w:rPr>
      <w:color w:val="auto"/>
    </w:rPr>
  </w:style>
  <w:style w:type="paragraph" w:customStyle="1" w:styleId="308">
    <w:name w:val="Nivel 5"/>
    <w:basedOn w:val="307"/>
    <w:autoRedefine/>
    <w:qFormat/>
    <w:uiPriority w:val="0"/>
    <w:pPr>
      <w:ind w:left="851"/>
    </w:pPr>
  </w:style>
  <w:style w:type="character" w:customStyle="1" w:styleId="309">
    <w:name w:val="Nivel 3 Char"/>
    <w:basedOn w:val="5"/>
    <w:link w:val="306"/>
    <w:autoRedefine/>
    <w:qFormat/>
    <w:locked/>
    <w:uiPriority w:val="0"/>
    <w:rPr>
      <w:rFonts w:ascii="Arial" w:hAnsi="Arial" w:cs="Arial" w:eastAsiaTheme="minorEastAsia"/>
      <w:color w:val="000000"/>
      <w:sz w:val="20"/>
      <w:szCs w:val="20"/>
      <w:lang w:eastAsia="pt-BR"/>
    </w:rPr>
  </w:style>
  <w:style w:type="character" w:customStyle="1" w:styleId="310">
    <w:name w:val="Texto de comentário Char"/>
    <w:basedOn w:val="5"/>
    <w:link w:val="18"/>
    <w:autoRedefine/>
    <w:semiHidden/>
    <w:qFormat/>
    <w:uiPriority w:val="0"/>
    <w:rPr>
      <w:rFonts w:ascii="ecofont_spranq_eco_sans" w:hAnsi="ecofont_spranq_eco_sans" w:cs="Tahoma" w:eastAsiaTheme="minorEastAsia"/>
      <w:sz w:val="20"/>
      <w:szCs w:val="20"/>
      <w:lang w:eastAsia="pt-BR"/>
    </w:rPr>
  </w:style>
  <w:style w:type="character" w:customStyle="1" w:styleId="311">
    <w:name w:val="Nível 3-R Char"/>
    <w:basedOn w:val="309"/>
    <w:link w:val="312"/>
    <w:autoRedefine/>
    <w:qFormat/>
    <w:locked/>
    <w:uiPriority w:val="0"/>
    <w:rPr>
      <w:rFonts w:ascii="Arial" w:hAnsi="Arial" w:cs="Arial" w:eastAsiaTheme="minorEastAsia"/>
      <w:i/>
      <w:iCs/>
      <w:color w:val="FF0000"/>
      <w:sz w:val="22"/>
      <w:szCs w:val="22"/>
      <w:lang w:eastAsia="pt-BR"/>
    </w:rPr>
  </w:style>
  <w:style w:type="paragraph" w:customStyle="1" w:styleId="312">
    <w:name w:val="Nível 3-R"/>
    <w:basedOn w:val="306"/>
    <w:link w:val="311"/>
    <w:autoRedefine/>
    <w:qFormat/>
    <w:uiPriority w:val="0"/>
    <w:pPr>
      <w:numPr>
        <w:ilvl w:val="2"/>
        <w:numId w:val="1"/>
      </w:numPr>
      <w:ind w:left="284" w:firstLine="0"/>
    </w:pPr>
    <w:rPr>
      <w:rFonts w:eastAsiaTheme="minorHAnsi"/>
      <w:i/>
      <w:iCs/>
      <w:color w:val="FF0000"/>
      <w:sz w:val="22"/>
      <w:szCs w:val="22"/>
    </w:rPr>
  </w:style>
  <w:style w:type="character" w:customStyle="1" w:styleId="313">
    <w:name w:val="Nivel 4 Char"/>
    <w:basedOn w:val="5"/>
    <w:link w:val="307"/>
    <w:autoRedefine/>
    <w:qFormat/>
    <w:locked/>
    <w:uiPriority w:val="0"/>
    <w:rPr>
      <w:rFonts w:ascii="Arial" w:hAnsi="Arial" w:cs="Arial" w:eastAsiaTheme="minorEastAsia"/>
      <w:sz w:val="20"/>
      <w:szCs w:val="20"/>
      <w:lang w:eastAsia="pt-BR"/>
    </w:rPr>
  </w:style>
  <w:style w:type="character" w:customStyle="1" w:styleId="314">
    <w:name w:val="Menção Pendente1"/>
    <w:basedOn w:val="5"/>
    <w:autoRedefine/>
    <w:semiHidden/>
    <w:unhideWhenUsed/>
    <w:qFormat/>
    <w:uiPriority w:val="99"/>
    <w:rPr>
      <w:color w:val="605E5C"/>
      <w:shd w:val="clear" w:color="auto" w:fill="E1DFDD"/>
    </w:rPr>
  </w:style>
  <w:style w:type="paragraph" w:customStyle="1" w:styleId="315">
    <w:name w:val="Conteúdo do quadro"/>
    <w:basedOn w:val="1"/>
    <w:autoRedefine/>
    <w:qFormat/>
    <w:uiPriority w:val="0"/>
    <w:pPr>
      <w:widowControl w:val="0"/>
    </w:pPr>
    <w:rPr>
      <w:sz w:val="22"/>
      <w:szCs w:val="22"/>
      <w:lang w:val="pt-PT" w:eastAsia="en-US"/>
    </w:rPr>
  </w:style>
  <w:style w:type="character" w:customStyle="1" w:styleId="316">
    <w:name w:val="Assunto do comentário Char"/>
    <w:basedOn w:val="310"/>
    <w:link w:val="30"/>
    <w:autoRedefine/>
    <w:semiHidden/>
    <w:qFormat/>
    <w:uiPriority w:val="99"/>
    <w:rPr>
      <w:rFonts w:ascii="Times New Roman" w:hAnsi="Times New Roman" w:eastAsia="Times New Roman" w:cs="Times New Roman"/>
      <w:b/>
      <w:bCs/>
      <w:sz w:val="20"/>
      <w:szCs w:val="20"/>
      <w:lang w:eastAsia="pt-BR"/>
    </w:rPr>
  </w:style>
  <w:style w:type="character" w:customStyle="1" w:styleId="317">
    <w:name w:val="Nível 3 Char"/>
    <w:basedOn w:val="5"/>
    <w:link w:val="318"/>
    <w:autoRedefine/>
    <w:qFormat/>
    <w:locked/>
    <w:uiPriority w:val="0"/>
    <w:rPr>
      <w:rFonts w:ascii="Arial" w:hAnsi="Arial" w:cs="Arial"/>
      <w:sz w:val="22"/>
      <w:szCs w:val="22"/>
      <w:lang w:eastAsia="en-US"/>
    </w:rPr>
  </w:style>
  <w:style w:type="paragraph" w:customStyle="1" w:styleId="318">
    <w:name w:val="Nível 3"/>
    <w:basedOn w:val="312"/>
    <w:link w:val="317"/>
    <w:autoRedefine/>
    <w:qFormat/>
    <w:uiPriority w:val="0"/>
    <w:rPr>
      <w:i w:val="0"/>
      <w:iCs w:val="0"/>
      <w:color w:val="auto"/>
      <w:lang w:eastAsia="en-US"/>
    </w:rPr>
  </w:style>
  <w:style w:type="character" w:customStyle="1" w:styleId="319">
    <w:name w:val="Nível 4 Char"/>
    <w:basedOn w:val="317"/>
    <w:link w:val="320"/>
    <w:autoRedefine/>
    <w:qFormat/>
    <w:locked/>
    <w:uiPriority w:val="0"/>
    <w:rPr>
      <w:rFonts w:ascii="Arial" w:hAnsi="Arial" w:cs="Arial"/>
      <w:sz w:val="22"/>
      <w:szCs w:val="22"/>
      <w:lang w:eastAsia="en-US"/>
    </w:rPr>
  </w:style>
  <w:style w:type="paragraph" w:customStyle="1" w:styleId="320">
    <w:name w:val="Nível 4"/>
    <w:basedOn w:val="318"/>
    <w:link w:val="319"/>
    <w:autoRedefine/>
    <w:qFormat/>
    <w:uiPriority w:val="0"/>
    <w:pPr>
      <w:numPr>
        <w:ilvl w:val="0"/>
        <w:numId w:val="0"/>
      </w:numPr>
      <w:ind w:left="567"/>
    </w:pPr>
  </w:style>
  <w:style w:type="character" w:customStyle="1" w:styleId="321">
    <w:name w:val="Nível 2 -Red Char"/>
    <w:basedOn w:val="304"/>
    <w:link w:val="322"/>
    <w:autoRedefine/>
    <w:qFormat/>
    <w:locked/>
    <w:uiPriority w:val="0"/>
    <w:rPr>
      <w:rFonts w:ascii="Arial" w:hAnsi="Arial" w:cs="Arial"/>
      <w:i/>
      <w:iCs/>
      <w:color w:val="FF0000"/>
      <w:sz w:val="22"/>
      <w:szCs w:val="22"/>
      <w:lang w:eastAsia="en-US"/>
    </w:rPr>
  </w:style>
  <w:style w:type="paragraph" w:customStyle="1" w:styleId="322">
    <w:name w:val="Nível 2 -Red"/>
    <w:basedOn w:val="305"/>
    <w:link w:val="321"/>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3">
    <w:name w:val="SubTitNN Char"/>
    <w:basedOn w:val="5"/>
    <w:link w:val="324"/>
    <w:autoRedefine/>
    <w:qFormat/>
    <w:locked/>
    <w:uiPriority w:val="0"/>
    <w:rPr>
      <w:rFonts w:ascii="Arial" w:hAnsi="Arial" w:cs="Arial"/>
      <w:b/>
      <w:bCs/>
      <w:iCs/>
    </w:rPr>
  </w:style>
  <w:style w:type="paragraph" w:customStyle="1" w:styleId="324">
    <w:name w:val="SubTitNN"/>
    <w:basedOn w:val="1"/>
    <w:link w:val="323"/>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5">
    <w:name w:val="Título 1 Char1"/>
    <w:basedOn w:val="5"/>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6">
    <w:name w:val="15"/>
    <w:basedOn w:val="5"/>
    <w:autoRedefine/>
    <w:qFormat/>
    <w:uiPriority w:val="0"/>
    <w:rPr>
      <w:rFonts w:hint="default" w:ascii="Times New Roman" w:hAnsi="Times New Roman" w:cs="Times New Roman"/>
      <w:color w:val="000080"/>
      <w:u w:val="single"/>
    </w:rPr>
  </w:style>
  <w:style w:type="character" w:customStyle="1" w:styleId="327">
    <w:name w:val="16"/>
    <w:basedOn w:val="5"/>
    <w:autoRedefine/>
    <w:qFormat/>
    <w:uiPriority w:val="0"/>
    <w:rPr>
      <w:rFonts w:hint="default" w:ascii="Times New Roman" w:hAnsi="Times New Roman" w:cs="Times New Roman"/>
      <w:color w:val="000080"/>
      <w:u w:val="single"/>
    </w:rPr>
  </w:style>
  <w:style w:type="paragraph" w:customStyle="1" w:styleId="328">
    <w:name w:val="No Spacing1"/>
    <w:basedOn w:val="1"/>
    <w:autoRedefine/>
    <w:qFormat/>
    <w:uiPriority w:val="0"/>
    <w:pPr>
      <w:widowControl w:val="0"/>
      <w:suppressAutoHyphens w:val="0"/>
    </w:pPr>
    <w:rPr>
      <w:rFonts w:eastAsia="Tahoma"/>
    </w:rPr>
  </w:style>
  <w:style w:type="paragraph" w:customStyle="1" w:styleId="329">
    <w:name w:val="List Paragraph2"/>
    <w:basedOn w:val="1"/>
    <w:autoRedefine/>
    <w:qFormat/>
    <w:uiPriority w:val="0"/>
    <w:pPr>
      <w:suppressAutoHyphens w:val="0"/>
      <w:spacing w:before="100" w:beforeAutospacing="1" w:after="100" w:afterAutospacing="1"/>
      <w:contextualSpacing/>
    </w:pPr>
  </w:style>
  <w:style w:type="paragraph" w:customStyle="1" w:styleId="330">
    <w:name w:val="WW-Normal (Web)"/>
    <w:basedOn w:val="1"/>
    <w:autoRedefine/>
    <w:qFormat/>
    <w:uiPriority w:val="0"/>
    <w:pPr>
      <w:spacing w:before="280" w:after="280"/>
    </w:pPr>
    <w:rPr>
      <w:lang w:eastAsia="ar-SA"/>
    </w:rPr>
  </w:style>
  <w:style w:type="table" w:customStyle="1" w:styleId="331">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2">
    <w:name w:val="tx2"/>
    <w:basedOn w:val="5"/>
    <w:autoRedefine/>
    <w:qFormat/>
    <w:uiPriority w:val="0"/>
  </w:style>
  <w:style w:type="paragraph" w:customStyle="1" w:styleId="333">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4">
    <w:name w:val="Conteúdo da tabela"/>
    <w:basedOn w:val="300"/>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5">
    <w:name w:val="Text body"/>
    <w:basedOn w:val="300"/>
    <w:autoRedefine/>
    <w:qFormat/>
    <w:uiPriority w:val="0"/>
    <w:pPr>
      <w:widowControl/>
      <w:spacing w:after="140" w:line="276" w:lineRule="auto"/>
    </w:pPr>
    <w:rPr>
      <w:rFonts w:eastAsia="Noto Serif CJK SC" w:cs="Lohit Devanagari"/>
    </w:rPr>
  </w:style>
  <w:style w:type="paragraph" w:customStyle="1" w:styleId="336">
    <w:name w:val="Table Contents"/>
    <w:basedOn w:val="300"/>
    <w:qFormat/>
    <w:uiPriority w:val="0"/>
    <w:pPr>
      <w:suppressLineNumbers/>
    </w:pPr>
    <w:rPr>
      <w:rFonts w:eastAsia="Noto Serif CJK SC" w:cs="Lohit Devanagari"/>
    </w:rPr>
  </w:style>
  <w:style w:type="character" w:customStyle="1" w:styleId="337">
    <w:name w:val="Internet link"/>
    <w:qFormat/>
    <w:uiPriority w:val="0"/>
    <w:rPr>
      <w:color w:val="0000FF"/>
      <w:u w:val="single"/>
    </w:rPr>
  </w:style>
  <w:style w:type="character" w:customStyle="1" w:styleId="338">
    <w:name w:val="markedcontent"/>
    <w:basedOn w:val="5"/>
    <w:qFormat/>
    <w:uiPriority w:val="0"/>
  </w:style>
  <w:style w:type="character" w:customStyle="1" w:styleId="339">
    <w:name w:val="Forte1"/>
    <w:basedOn w:val="340"/>
    <w:link w:val="1"/>
    <w:qFormat/>
    <w:uiPriority w:val="0"/>
    <w:rPr>
      <w:rFonts w:ascii="Times New Roman" w:hAnsi="Times New Roman" w:eastAsia="Times New Roman" w:cs="Times New Roman"/>
      <w:sz w:val="24"/>
      <w:szCs w:val="24"/>
      <w:lang w:val="pt-BR" w:eastAsia="pt-BR" w:bidi="ar-SA"/>
    </w:rPr>
  </w:style>
  <w:style w:type="character" w:customStyle="1" w:styleId="340">
    <w:name w:val="Fonte parág. padrão11"/>
    <w:link w:val="1"/>
    <w:qFormat/>
    <w:uiPriority w:val="0"/>
  </w:style>
  <w:style w:type="table" w:customStyle="1" w:styleId="341">
    <w:name w:val="Tabela com grade1"/>
    <w:basedOn w:val="34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2">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3">
    <w:name w:val="2"/>
    <w:basedOn w:val="344"/>
    <w:autoRedefine/>
    <w:qFormat/>
    <w:uiPriority w:val="0"/>
    <w:tblPr>
      <w:tblCellMar>
        <w:top w:w="0" w:type="dxa"/>
        <w:left w:w="108" w:type="dxa"/>
        <w:bottom w:w="0" w:type="dxa"/>
        <w:right w:w="108" w:type="dxa"/>
      </w:tblCellMar>
    </w:tblPr>
  </w:style>
  <w:style w:type="table" w:customStyle="1" w:styleId="344">
    <w:name w:val="Table Normal1"/>
    <w:autoRedefine/>
    <w:qFormat/>
    <w:uiPriority w:val="0"/>
    <w:tblPr>
      <w:tblCellMar>
        <w:top w:w="0" w:type="dxa"/>
        <w:left w:w="0" w:type="dxa"/>
        <w:bottom w:w="0" w:type="dxa"/>
        <w:right w:w="0" w:type="dxa"/>
      </w:tblCellMar>
    </w:tblPr>
  </w:style>
  <w:style w:type="table" w:customStyle="1" w:styleId="345">
    <w:name w:val="1"/>
    <w:basedOn w:val="344"/>
    <w:qFormat/>
    <w:uiPriority w:val="0"/>
    <w:tblPr>
      <w:tblCellMar>
        <w:top w:w="100" w:type="dxa"/>
        <w:left w:w="100" w:type="dxa"/>
        <w:bottom w:w="100" w:type="dxa"/>
        <w:right w:w="100" w:type="dxa"/>
      </w:tblCellMar>
    </w:tblPr>
  </w:style>
  <w:style w:type="table" w:customStyle="1" w:styleId="346">
    <w:name w:val="5"/>
    <w:basedOn w:val="344"/>
    <w:autoRedefine/>
    <w:qFormat/>
    <w:uiPriority w:val="0"/>
    <w:tblPr>
      <w:tblCellMar>
        <w:top w:w="100" w:type="dxa"/>
        <w:left w:w="100" w:type="dxa"/>
        <w:bottom w:w="100" w:type="dxa"/>
        <w:right w:w="100" w:type="dxa"/>
      </w:tblCellMar>
    </w:tblPr>
  </w:style>
  <w:style w:type="table" w:customStyle="1" w:styleId="347">
    <w:name w:val="4"/>
    <w:basedOn w:val="344"/>
    <w:qFormat/>
    <w:uiPriority w:val="0"/>
    <w:tblPr>
      <w:tblCellMar>
        <w:top w:w="100" w:type="dxa"/>
        <w:left w:w="100" w:type="dxa"/>
        <w:bottom w:w="100" w:type="dxa"/>
        <w:right w:w="100" w:type="dxa"/>
      </w:tblCellMar>
    </w:tblPr>
  </w:style>
  <w:style w:type="table" w:customStyle="1" w:styleId="348">
    <w:name w:val="3"/>
    <w:basedOn w:val="344"/>
    <w:autoRedefine/>
    <w:qFormat/>
    <w:uiPriority w:val="0"/>
    <w:tblPr>
      <w:tblCellMar>
        <w:top w:w="0" w:type="dxa"/>
        <w:left w:w="108" w:type="dxa"/>
        <w:bottom w:w="0" w:type="dxa"/>
        <w:right w:w="108" w:type="dxa"/>
      </w:tblCellMar>
    </w:tblPr>
  </w:style>
  <w:style w:type="paragraph" w:customStyle="1" w:styleId="349">
    <w:name w:val="Table Paragraph"/>
    <w:basedOn w:val="1"/>
    <w:qFormat/>
    <w:uiPriority w:val="1"/>
  </w:style>
  <w:style w:type="table" w:customStyle="1" w:styleId="350">
    <w:name w:val="_Style 64"/>
    <w:basedOn w:val="331"/>
    <w:qFormat/>
    <w:uiPriority w:val="0"/>
    <w:tblPr>
      <w:tblCellMar>
        <w:top w:w="100" w:type="dxa"/>
        <w:left w:w="100" w:type="dxa"/>
        <w:bottom w:w="100" w:type="dxa"/>
        <w:right w:w="100" w:type="dxa"/>
      </w:tblCellMar>
    </w:tblPr>
  </w:style>
  <w:style w:type="paragraph" w:customStyle="1" w:styleId="351">
    <w:name w:val="Heading 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 w:type="character" w:customStyle="1" w:styleId="352">
    <w:name w:val="fontstyle01"/>
    <w:basedOn w:val="5"/>
    <w:qFormat/>
    <w:uiPriority w:val="0"/>
    <w:rPr>
      <w:rFonts w:ascii="ArialMT;Times New Roman" w:hAnsi="ArialMT;Times New Roman" w:cs="ArialMT;Times New Roman"/>
      <w:color w:val="000000"/>
      <w:sz w:val="20"/>
      <w:szCs w:val="20"/>
    </w:rPr>
  </w:style>
  <w:style w:type="paragraph" w:customStyle="1" w:styleId="353">
    <w:name w:val="Nível 1-Sem Num Preto"/>
    <w:basedOn w:val="354"/>
    <w:qFormat/>
    <w:uiPriority w:val="0"/>
    <w:pPr>
      <w:tabs>
        <w:tab w:val="left" w:pos="567"/>
      </w:tabs>
    </w:pPr>
    <w:rPr>
      <w:color w:val="auto"/>
      <w:lang w:eastAsia="zh-CN" w:bidi="hi-IN"/>
    </w:rPr>
  </w:style>
  <w:style w:type="paragraph" w:customStyle="1" w:styleId="354">
    <w:name w:val="Nível 1-Sem Num"/>
    <w:basedOn w:val="280"/>
    <w:autoRedefine/>
    <w:qFormat/>
    <w:uiPriority w:val="0"/>
    <w:pPr>
      <w:numPr>
        <w:numId w:val="0"/>
      </w:numPr>
      <w:outlineLvl w:val="1"/>
    </w:pPr>
    <w:rPr>
      <w:color w:val="FF0000"/>
    </w:rPr>
  </w:style>
  <w:style w:type="paragraph" w:customStyle="1" w:styleId="355">
    <w:name w:val="Header"/>
    <w:basedOn w:val="1"/>
    <w:unhideWhenUsed/>
    <w:qFormat/>
    <w:uiPriority w:val="99"/>
    <w:pPr>
      <w:tabs>
        <w:tab w:val="center" w:pos="4252"/>
        <w:tab w:val="right" w:pos="8504"/>
      </w:tabs>
      <w:spacing w:after="0" w:line="240" w:lineRule="auto"/>
    </w:pPr>
  </w:style>
  <w:style w:type="paragraph" w:customStyle="1" w:styleId="356">
    <w:name w:val="Footer"/>
    <w:basedOn w:val="1"/>
    <w:unhideWhenUsed/>
    <w:qFormat/>
    <w:uiPriority w:val="99"/>
    <w:pPr>
      <w:tabs>
        <w:tab w:val="center" w:pos="4252"/>
        <w:tab w:val="right" w:pos="8504"/>
      </w:tabs>
      <w:spacing w:after="0" w:line="240" w:lineRule="auto"/>
    </w:pPr>
  </w:style>
  <w:style w:type="character" w:customStyle="1" w:styleId="357">
    <w:name w:val="uv3um"/>
    <w:basedOn w:val="5"/>
    <w:qFormat/>
    <w:uiPriority w:val="0"/>
  </w:style>
  <w:style w:type="character" w:customStyle="1" w:styleId="358">
    <w:name w:val="hgkelc"/>
    <w:basedOn w:val="5"/>
    <w:qFormat/>
    <w:uiPriority w:val="0"/>
  </w:style>
  <w:style w:type="table" w:customStyle="1" w:styleId="359">
    <w:name w:val="_Style 360"/>
    <w:basedOn w:val="331"/>
    <w:qFormat/>
    <w:uiPriority w:val="0"/>
    <w:tblPr>
      <w:tblCellMar>
        <w:top w:w="0" w:type="dxa"/>
        <w:left w:w="108" w:type="dxa"/>
        <w:bottom w:w="0" w:type="dxa"/>
        <w:right w:w="108" w:type="dxa"/>
      </w:tblCellMar>
    </w:tblPr>
  </w:style>
  <w:style w:type="table" w:customStyle="1" w:styleId="360">
    <w:name w:val="_Style 46"/>
    <w:basedOn w:val="361"/>
    <w:qFormat/>
    <w:uiPriority w:val="0"/>
    <w:tblPr>
      <w:tblCellMar>
        <w:top w:w="100" w:type="dxa"/>
        <w:left w:w="100" w:type="dxa"/>
        <w:bottom w:w="100" w:type="dxa"/>
        <w:right w:w="100" w:type="dxa"/>
      </w:tblCellMar>
    </w:tblPr>
  </w:style>
  <w:style w:type="table" w:customStyle="1" w:styleId="361">
    <w:name w:val="TableNormal"/>
    <w:qFormat/>
    <w:uiPriority w:val="0"/>
    <w:tblPr>
      <w:tblCellMar>
        <w:top w:w="100" w:type="dxa"/>
        <w:left w:w="100" w:type="dxa"/>
        <w:bottom w:w="100" w:type="dxa"/>
        <w:right w:w="100" w:type="dxa"/>
      </w:tblCellMar>
    </w:tblPr>
  </w:style>
  <w:style w:type="table" w:customStyle="1" w:styleId="362">
    <w:name w:val="_Style 42"/>
    <w:basedOn w:val="361"/>
    <w:qFormat/>
    <w:uiPriority w:val="0"/>
    <w:tblPr>
      <w:tblCellMar>
        <w:top w:w="0" w:type="dxa"/>
        <w:left w:w="115" w:type="dxa"/>
        <w:bottom w:w="0" w:type="dxa"/>
        <w:right w:w="115" w:type="dxa"/>
      </w:tblCellMar>
    </w:tblPr>
  </w:style>
  <w:style w:type="table" w:customStyle="1" w:styleId="363">
    <w:name w:val="_Style 51"/>
    <w:basedOn w:val="361"/>
    <w:qFormat/>
    <w:uiPriority w:val="0"/>
    <w:tblPr>
      <w:tblCellMar>
        <w:top w:w="0" w:type="dxa"/>
        <w:left w:w="108" w:type="dxa"/>
        <w:bottom w:w="0" w:type="dxa"/>
        <w:right w:w="108" w:type="dxa"/>
      </w:tblCellMar>
    </w:tblPr>
  </w:style>
  <w:style w:type="table" w:customStyle="1" w:styleId="364">
    <w:name w:val="_Style 55"/>
    <w:basedOn w:val="361"/>
    <w:qFormat/>
    <w:uiPriority w:val="0"/>
    <w:tblPr>
      <w:tblCellMar>
        <w:top w:w="0" w:type="dxa"/>
        <w:left w:w="108" w:type="dxa"/>
        <w:bottom w:w="0" w:type="dxa"/>
        <w:right w:w="108" w:type="dxa"/>
      </w:tblCellMar>
    </w:tblPr>
  </w:style>
  <w:style w:type="paragraph" w:customStyle="1" w:styleId="365">
    <w:name w:val="normal11"/>
    <w:qFormat/>
    <w:uiPriority w:val="0"/>
    <w:pPr>
      <w:widowControl/>
      <w:suppressAutoHyphens/>
      <w:bidi w:val="0"/>
      <w:spacing w:before="0" w:after="0"/>
      <w:jc w:val="left"/>
    </w:pPr>
    <w:rPr>
      <w:rFonts w:ascii="Arial" w:hAnsi="Arial" w:eastAsia="Arial" w:cs="Arial"/>
      <w:color w:val="auto"/>
      <w:kern w:val="0"/>
      <w:sz w:val="24"/>
      <w:szCs w:val="24"/>
      <w:lang w:val="pt-BR" w:eastAsia="zh-CN" w:bidi="hi-IN"/>
    </w:rPr>
  </w:style>
  <w:style w:type="paragraph" w:customStyle="1" w:styleId="366">
    <w:name w:val="Conteúdo da tabela (user)"/>
    <w:basedOn w:val="1"/>
    <w:qFormat/>
    <w:uiPriority w:val="0"/>
    <w:pPr>
      <w:widowControl w:val="0"/>
      <w:suppressLineNumber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1932</Words>
  <Characters>10908</Characters>
  <Lines>841</Lines>
  <Paragraphs>238</Paragraphs>
  <TotalTime>0</TotalTime>
  <ScaleCrop>false</ScaleCrop>
  <LinksUpToDate>false</LinksUpToDate>
  <CharactersWithSpaces>12857</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2025-11-14T13:52:00Z</cp:lastPrinted>
  <dcterms:modified xsi:type="dcterms:W3CDTF">2026-04-29T16:34:40Z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1046-12.1.0.25862</vt:lpwstr>
  </property>
  <property fmtid="{D5CDD505-2E9C-101B-9397-08002B2CF9AE}" pid="3" name="ICV">
    <vt:lpwstr>FC22D198726247A6AECF7B78519B32B0_13</vt:lpwstr>
  </property>
  <property fmtid="{D5CDD505-2E9C-101B-9397-08002B2CF9AE}" pid="4" name="KSOTemplateDocerSaveRecord">
    <vt:lpwstr>eyJoZGlkIjoiZDQ0ZmIzNjJiOTk1NjRmYTRkNDJmZjFmNGQzMjU3ZWYiLCJ1c2VySWQiOiIxNjY2NjUyNzk0MDYxIn0=</vt:lpwstr>
  </property>
</Properties>
</file>